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微软雅黑" w:hAnsi="微软雅黑" w:eastAsia="微软雅黑" w:cs="微软雅黑"/>
          <w:b/>
          <w:bCs/>
          <w:sz w:val="44"/>
          <w:szCs w:val="44"/>
          <w:lang w:eastAsia="zh-CN"/>
        </w:rPr>
      </w:pPr>
      <w:r>
        <w:rPr>
          <w:rFonts w:hint="eastAsia" w:ascii="微软雅黑" w:hAnsi="微软雅黑" w:eastAsia="微软雅黑" w:cs="微软雅黑"/>
          <w:b/>
          <w:bCs/>
          <w:sz w:val="44"/>
          <w:szCs w:val="44"/>
        </w:rPr>
        <w:t>武</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rPr>
        <w:t>胜</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rPr>
        <w:t>县</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rPr>
        <w:t>鸣</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rPr>
        <w:t>钟</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rPr>
        <w:t>小</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rPr>
        <w:t>学</w:t>
      </w:r>
      <w:r>
        <w:rPr>
          <w:rFonts w:hint="eastAsia" w:ascii="微软雅黑" w:hAnsi="微软雅黑" w:eastAsia="微软雅黑" w:cs="微软雅黑"/>
          <w:b/>
          <w:bCs/>
          <w:sz w:val="44"/>
          <w:szCs w:val="44"/>
          <w:lang w:val="en-US" w:eastAsia="zh-CN"/>
        </w:rPr>
        <w:t xml:space="preserve"> </w:t>
      </w:r>
      <w:r>
        <w:rPr>
          <w:rFonts w:hint="eastAsia" w:ascii="微软雅黑" w:hAnsi="微软雅黑" w:eastAsia="微软雅黑" w:cs="微软雅黑"/>
          <w:b/>
          <w:bCs/>
          <w:sz w:val="44"/>
          <w:szCs w:val="44"/>
          <w:lang w:eastAsia="zh-CN"/>
        </w:rPr>
        <w:t>校</w:t>
      </w:r>
    </w:p>
    <w:p>
      <w:pPr>
        <w:jc w:val="center"/>
        <w:rPr>
          <w:rFonts w:eastAsia="仿宋"/>
          <w:sz w:val="32"/>
        </w:rPr>
      </w:pPr>
      <w:r>
        <w:rPr>
          <w:rFonts w:hint="eastAsia" w:ascii="微软雅黑" w:hAnsi="微软雅黑" w:eastAsia="微软雅黑" w:cs="微软雅黑"/>
          <w:b/>
          <w:bCs/>
          <w:sz w:val="44"/>
          <w:szCs w:val="44"/>
        </w:rPr>
        <w:t>关于20</w:t>
      </w:r>
      <w:r>
        <w:rPr>
          <w:rFonts w:hint="eastAsia" w:ascii="微软雅黑" w:hAnsi="微软雅黑" w:eastAsia="微软雅黑" w:cs="微软雅黑"/>
          <w:b/>
          <w:bCs/>
          <w:sz w:val="44"/>
          <w:szCs w:val="44"/>
          <w:lang w:val="en-US" w:eastAsia="zh-CN"/>
        </w:rPr>
        <w:t>21</w:t>
      </w:r>
      <w:r>
        <w:rPr>
          <w:rFonts w:hint="eastAsia" w:ascii="微软雅黑" w:hAnsi="微软雅黑" w:eastAsia="微软雅黑" w:cs="微软雅黑"/>
          <w:b/>
          <w:bCs/>
          <w:sz w:val="44"/>
          <w:szCs w:val="44"/>
        </w:rPr>
        <w:t>年部门预算编制的说明</w:t>
      </w:r>
    </w:p>
    <w:p>
      <w:pPr>
        <w:rPr>
          <w:rFonts w:hint="eastAsia" w:eastAsia="仿宋"/>
          <w:sz w:val="32"/>
        </w:rPr>
      </w:pPr>
      <w:r>
        <w:rPr>
          <w:rFonts w:hint="eastAsia" w:eastAsia="仿宋"/>
          <w:sz w:val="32"/>
        </w:rPr>
        <w:t xml:space="preserve">    </w:t>
      </w: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
      <w:pPr>
        <w:spacing w:line="580" w:lineRule="exact"/>
        <w:jc w:val="center"/>
        <w:rPr>
          <w:rFonts w:hint="eastAsia" w:ascii="黑体" w:hAnsi="宋体" w:eastAsia="黑体" w:cs="宋体"/>
          <w:b/>
          <w:bCs/>
          <w:sz w:val="32"/>
          <w:szCs w:val="32"/>
        </w:rPr>
      </w:pPr>
      <w:r>
        <w:rPr>
          <w:rFonts w:hint="eastAsia" w:ascii="新宋体" w:hAnsi="新宋体" w:eastAsia="新宋体" w:cs="新宋体"/>
          <w:sz w:val="32"/>
          <w:szCs w:val="32"/>
          <w:lang w:eastAsia="zh-CN"/>
        </w:rPr>
        <w:t>公开时间：</w:t>
      </w:r>
      <w:r>
        <w:rPr>
          <w:rFonts w:hint="eastAsia" w:ascii="新宋体" w:hAnsi="新宋体" w:eastAsia="新宋体" w:cs="新宋体"/>
          <w:sz w:val="32"/>
          <w:szCs w:val="32"/>
        </w:rPr>
        <w:t>202</w:t>
      </w:r>
      <w:r>
        <w:rPr>
          <w:rFonts w:hint="eastAsia" w:ascii="新宋体" w:hAnsi="新宋体" w:eastAsia="新宋体" w:cs="新宋体"/>
          <w:sz w:val="32"/>
          <w:szCs w:val="32"/>
          <w:lang w:val="en-US" w:eastAsia="zh-CN"/>
        </w:rPr>
        <w:t>1</w:t>
      </w:r>
      <w:r>
        <w:rPr>
          <w:rFonts w:hint="eastAsia" w:ascii="新宋体" w:hAnsi="新宋体" w:eastAsia="新宋体" w:cs="新宋体"/>
          <w:sz w:val="32"/>
          <w:szCs w:val="32"/>
          <w:lang w:eastAsia="zh-CN"/>
        </w:rPr>
        <w:t>年</w:t>
      </w:r>
      <w:r>
        <w:rPr>
          <w:rFonts w:hint="eastAsia" w:ascii="新宋体" w:hAnsi="新宋体" w:eastAsia="新宋体" w:cs="新宋体"/>
          <w:sz w:val="32"/>
          <w:szCs w:val="32"/>
          <w:lang w:val="en-US" w:eastAsia="zh-CN"/>
        </w:rPr>
        <w:t>2</w:t>
      </w:r>
      <w:r>
        <w:rPr>
          <w:rFonts w:hint="eastAsia" w:ascii="新宋体" w:hAnsi="新宋体" w:eastAsia="新宋体" w:cs="新宋体"/>
          <w:sz w:val="32"/>
          <w:szCs w:val="32"/>
          <w:lang w:eastAsia="zh-CN"/>
        </w:rPr>
        <w:t>月</w:t>
      </w:r>
      <w:r>
        <w:rPr>
          <w:rFonts w:hint="eastAsia" w:ascii="新宋体" w:hAnsi="新宋体" w:eastAsia="新宋体" w:cs="新宋体"/>
          <w:sz w:val="32"/>
          <w:szCs w:val="32"/>
          <w:lang w:val="en-US" w:eastAsia="zh-CN"/>
        </w:rPr>
        <w:t>25</w:t>
      </w:r>
      <w:r>
        <w:rPr>
          <w:rFonts w:hint="eastAsia" w:ascii="新宋体" w:hAnsi="新宋体" w:eastAsia="新宋体" w:cs="新宋体"/>
          <w:sz w:val="32"/>
          <w:szCs w:val="32"/>
          <w:lang w:eastAsia="zh-CN"/>
        </w:rPr>
        <w:t>日</w:t>
      </w:r>
    </w:p>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..........................1</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lang w:val="en-US"/>
        </w:rPr>
      </w:pPr>
      <w:r>
        <w:rPr>
          <w:rFonts w:hint="eastAsia" w:ascii="仿宋" w:hAnsi="仿宋" w:eastAsia="仿宋" w:cs="仿宋"/>
          <w:sz w:val="32"/>
          <w:szCs w:val="32"/>
        </w:rPr>
        <w:t>部门预算单位构成</w:t>
      </w:r>
      <w:r>
        <w:rPr>
          <w:rFonts w:hint="eastAsia" w:cs="仿宋"/>
          <w:sz w:val="32"/>
          <w:szCs w:val="32"/>
          <w:lang w:val="en-US" w:eastAsia="zh-CN"/>
        </w:rPr>
        <w:t>............................5</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............................6</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....................6</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.6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 xml:space="preserve">7 </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 7</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..................8</w:t>
      </w:r>
    </w:p>
    <w:p>
      <w:pPr>
        <w:widowControl/>
        <w:spacing w:line="440" w:lineRule="exact"/>
        <w:jc w:val="left"/>
        <w:rPr>
          <w:rFonts w:hint="eastAsia" w:ascii="仿宋" w:hAnsi="仿宋" w:eastAsia="仿宋" w:cs="仿宋"/>
          <w:bCs/>
          <w:kern w:val="44"/>
          <w:sz w:val="24"/>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......................8</w:t>
      </w:r>
      <w:r>
        <w:rPr>
          <w:rFonts w:hint="eastAsia" w:ascii="仿宋" w:hAnsi="仿宋" w:eastAsia="仿宋" w:cs="仿宋"/>
          <w:sz w:val="32"/>
          <w:szCs w:val="32"/>
          <w:lang w:val="en-US" w:eastAsia="zh-CN"/>
        </w:rPr>
        <w:tab/>
      </w:r>
      <w:bookmarkStart w:id="0" w:name="_GoBack"/>
      <w:bookmarkEnd w:id="0"/>
    </w:p>
    <w:p>
      <w:pPr>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名词解释...................................8</w:t>
      </w:r>
    </w:p>
    <w:p>
      <w:pPr>
        <w:spacing w:line="600" w:lineRule="exact"/>
        <w:rPr>
          <w:rFonts w:hint="eastAsia" w:eastAsia="仿宋"/>
          <w:sz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附表.......................................9</w:t>
      </w:r>
    </w:p>
    <w:p>
      <w:pPr>
        <w:rPr>
          <w:rFonts w:hint="eastAsia" w:eastAsia="仿宋"/>
          <w:sz w:val="32"/>
        </w:rPr>
      </w:pPr>
      <w:r>
        <w:rPr>
          <w:rFonts w:hint="eastAsia" w:ascii="黑体" w:hAnsi="宋体" w:eastAsia="黑体" w:cs="宋体"/>
          <w:b/>
          <w:bCs/>
          <w:sz w:val="32"/>
          <w:szCs w:val="32"/>
        </w:rPr>
        <w:t xml:space="preserve">   </w:t>
      </w:r>
      <w:r>
        <w:rPr>
          <w:rFonts w:hint="eastAsia" w:ascii="新宋体" w:hAnsi="新宋体" w:eastAsia="新宋体" w:cs="新宋体"/>
          <w:sz w:val="32"/>
          <w:szCs w:val="32"/>
        </w:rPr>
        <w:t xml:space="preserve"> </w:t>
      </w:r>
    </w:p>
    <w:p>
      <w:pPr>
        <w:rPr>
          <w:rFonts w:hint="eastAsia" w:ascii="仿宋" w:hAnsi="仿宋" w:eastAsia="仿宋" w:cs="仿宋"/>
          <w:b/>
          <w:bCs/>
          <w:kern w:val="2"/>
          <w:sz w:val="32"/>
          <w:szCs w:val="32"/>
          <w:lang w:val="en-US" w:eastAsia="zh-CN" w:bidi="ar-SA"/>
        </w:rPr>
      </w:pPr>
      <w:r>
        <w:rPr>
          <w:rFonts w:hint="eastAsia" w:eastAsia="仿宋"/>
          <w:b/>
          <w:bCs/>
          <w:sz w:val="32"/>
        </w:rPr>
        <w:t>　</w:t>
      </w:r>
      <w:r>
        <w:rPr>
          <w:rFonts w:hint="eastAsia" w:ascii="仿宋" w:hAnsi="仿宋" w:eastAsia="仿宋" w:cs="仿宋"/>
          <w:b/>
          <w:bCs/>
          <w:kern w:val="2"/>
          <w:sz w:val="32"/>
          <w:szCs w:val="32"/>
          <w:lang w:val="en-US" w:eastAsia="zh-CN" w:bidi="ar-SA"/>
        </w:rPr>
        <w:t xml:space="preserve"> 一、基本职能及主要工作</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武胜县鸣钟小学校是一所全日制的农村义务教育小学，主要职能是实施六年小学义务教育工作，促进基础教育发展。2021年需完成的重点工作：坚持以人为本、依法治校、质量强校的办学理念，深化管理，规范学校教育行为；强化师资，提高教师教育水平；优化质量，促进学生全面发展，促进学校又好又快发展。</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(一)指导思想</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2021年是贯彻落实党的十九大精神的开局之年，是决胜全面建成小康社会、深化教育领域综合改革实施“十三五”规划承上启下的关键的一年。我校将以邓小平理论、三个代表重要思想、科学发展观和习近平新</w:t>
      </w:r>
      <w:r>
        <w:rPr>
          <w:rFonts w:hint="eastAsia"/>
          <w:sz w:val="24"/>
          <w:szCs w:val="24"/>
          <w:lang w:eastAsia="zh-CN"/>
        </w:rPr>
        <w:t>时代中国特色社会主义思想</w:t>
      </w:r>
      <w:r>
        <w:rPr>
          <w:rFonts w:hint="eastAsia"/>
          <w:sz w:val="24"/>
          <w:szCs w:val="24"/>
        </w:rPr>
        <w:t>为</w:t>
      </w:r>
      <w:r>
        <w:rPr>
          <w:rFonts w:hint="eastAsia" w:ascii="仿宋" w:hAnsi="仿宋" w:eastAsia="仿宋" w:cs="仿宋"/>
          <w:kern w:val="2"/>
          <w:sz w:val="32"/>
          <w:szCs w:val="32"/>
          <w:lang w:val="en-US" w:eastAsia="zh-CN" w:bidi="ar-SA"/>
        </w:rPr>
        <w:t>指导，深入学习贯彻落实“十九”大精神，紧紧围绕武胜县教育科技体育局2020年工作要点，努力打造农村精品小学。</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（二）具体措施</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1、加强科学管理，实施民主理校。</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一是责任管理。建立“规范化、精细化、人性化”的学校管理体制，基本实现“凡事有准则，凡事有负责，凡事有程序，凡事有监督”。</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二是制度管理。在工作实践中，不断修订和完善学校各项管理制度，严格常规管理，改进评价制度，加大考评力度，奖优罚劣，切实维护制度尊严，要让制度管理为学校健康快速发展发挥重要作用。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三是目标管理。要通过目标责任书的签订，让工作在鸣钟小学的每一位教职员工都有自己的目标任务。使我们的工作有方向、有压力、有动力、有活力。</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是细节管理。细节影响品质，细节体现品位，细节显示高下，细节决定成败，细节造就辉煌”，我们将细节管理落实到日常教育教学工作的行动中。在新课程的推进中，在素质教育的实践中，牢固树立重视细节的观念，从备课计划、上课过程、作业批改、教学反思、教学研究、指导学生、到个人的行为习惯都要重视细节。</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是情感管理。作为人类文明和知识的传播者——教师，首先要能够做到胸怀宽广、理想远大、知识丰富、见识超群、文明高雅。学校将真诚地善待每一位教职员工和学生，为每一名师生搭建发展、成功的平台。学校将不断创造条件，通过组织教师外出参观、考察、学习，提升理念、拓展视野，最大限度地促使教师专业成长。并通过开展丰富多彩的团队活动，增进教师间的情感交流，让每一位教师心情愉悦地生活，尽心竭力地工作，自觉自愿地付出，真正把“校兴我荣，校衰我耻”融入到自己的血脉之中。每个教师应互相尊重、相互理解，谋求学校事业的最大发展，学校将成为每个教师最温暖的家园和实现人生价值的乐土。</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六是民主管理。学校将进一步发挥工会的桥梁与纽带作用，通过强化“教代会”职能，健全和完善学校各种制度，畅通民意渠道，扩大民主参与，使每一位教职员工都有主人翁的切身感受。</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加强队伍建设，转变工作作风。教师不仅仅是文化知识的传递者，而且是高尚品德的引导者，精神文明的传播者，先进思想的启迪者，心灵世界的开拓者，情感、意志、信念的塑造者，高尚人格的缔造者。因此，打造一支富有活力和创造力的教师队伍是一项重要而紧迫的任务。按照建设一流队伍、培育一流作风、创造一流业绩、营造良好发展环境的要求，必须抓好师资队伍建设，优化师资结构，激活学校内动力。</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打造学习型的班子，加强班子成员的学习，打造一支能干事、会干事、干成事的管理队伍。定期召开支部会议和行政会议，学习政治理论，统一工作思想，使班子成员切实做到“五多五少”：即多办实事，少说空话；多琢磨事，少琢磨人；多抢挑重担，少推卸责任；多想到别人，少想到自己；多考虑大局，少着眼局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是强抓师德师风建设，不断提高教师修养。学校将长期开展“三爱两维护”和争做“四有”好教师主题教育活动，进一步加强教师思想品德、职业理想和职业道德建设，引导教职工树立正确的育人观、科学的发展观，以德修身，爱岗敬业、甘于奉献，淡泊名利，自觉培养健康的生活情趣，以无私奉献的精神服务于学校。</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是转变工作作风，增强主人翁意识。每一位教师要树立“校兴我荣，校衰我耻”的责任感，要有“坐不住”的危机感，“等不起”的紧迫感，要有强烈的事业心和责任感，要有崇高的奉献精神，要有坚定不移的意识品质，要有持续发展的信念，要有永不满足、不断进取的精神，要有新时代的“敬业精神”，做一名学习型、思考型、创新型、科研型的优秀教师。做一名脚踏实地、用心做事、激情工作、敢于担当、学生喜欢、学校放心、家长满意的优秀教师。</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3、深化常规管理，提高教育教学质量。</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一是遵循“四个围绕”：围绕课堂抓业务，围绕教学抓管理，围绕学科抓突破，围绕质量促发展。提高教学管理水平，促进质量提高，树立品牌效应。</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是以课堂教学为主阵地，强化常规教学管理，规范教师教学行为。实施校长、行政领导定期听、评课制，了解教情和学情，有针对性的研究和指导教学。德育教育体现以学生发展为本的思想，我们所追求的是可持续的教育质量——既要重视学生的学习成绩，更要重视他们的人格塑造、能力培养和全面素质的提高。</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4、创新德育形式，促进学生全面发展。</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一是以中小学生日常行为规范达标为手段，以爱国主义、集体主义和社会主义教育为主线，以创建“和谐校园”为载体，以法制教育、诚信教育、国防教育、行为习惯养成教育、心理健康教育为抓手，感恩二是狠抓德育队伍建设，拓展德育渠道，形成全员育人格局。继续抓好班主任队伍建设，整合班主任、任课教师、关工委、家长等各方力量，健全学校、家庭、社会“三结合”德育工作网络，进一步聚集德育合力。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三是继续加强学生常规教育，培养学生良好行为习惯和学习习惯，为学生的终身发展奠定基础.</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是深入开展主题教育活动.在广大教职员工和学生中扎实开展主题教育活动,尤其要大力开展“三进校园”活动（三进：足球、书法、健步走），通过活动的开展，让师生的思想感情得到熏陶，精神生活得到充实，道德境界得到升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是坚持以学生发展为本，把促进学生全面、和谐、可持续发展作为学校的根本目标。深入开展阳光大课间、校园文化活动和各类社会实践活动，高度重视体育与艺术教育，不断丰富学生的课外活动，激发学生热爱生活、热爱科学、热爱体育、热爱艺术、热爱自然的热情，促进学生德、智、体、美全面发展。</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六是深入开展“平安校园”创建活动，强化安全意识，打造平安和谐校园。建立安全责任制度，细化安全职责，完善安全管理制度；重视学生安全教育；开展形式多样的安全培训；建立人防、物防和技防有机结合的防控体系，切实组织好安全突发事件应急演练，开展应急撤离演练不少于5次，切实提高学校和师生的防范、应急处置能力；定期做好安全检查，使全校师生平安、健康、快乐的生活、学习。</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5、切实加强党建及精神文明建设、政风行风建设，促进学校和谐发展。</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建立规范化运行机制，加强党员的教育管理，通过开展党务公开、承诺服务、党性定期分析和创先争优、学习型党组织建设等主题教育活动，教育引领广大党员切实发挥先锋模范作用；加强党支部的组织和活动阵地建设，进一步增强党支部的向心力、凝聚力、战斗力。</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是加强政风行风建设。严格落实党风廉政建设责任制，按照“立足教育、着眼防范、重在建设、狠抓落实”的工作思路，深入开展“廉洁文化进校园”活动；继续抓好政务、校务公开工作；加强教育收费管理，严格落实责任追究制，强化监督职能，加大查处力度，切实规范各类教育收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6、加强校园文化建设，提升学校办学品位。</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加强学校精神文明建设，继续创建“书香校园”、“文明校园”、“和谐校园”，加强校园文化氛围的营造，形成“团结、务实、进取、笃实”的校风，“敬业、爱生、严谨、创新”的教风，“乐学、会学、勤学、博学”的学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二是科学规划学校发展，不断提升校园文化，美化、绿化校园环境，使学校环境更加清新宜人，充满人文气息，彰显鸣钟小学的活力与魅力。</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二、部门概况</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武胜县鸣钟乡小学是一级预算单位，没有下属的二级预算单位，是单设的一所农村小学。现有教学班10个，学生241人。鸣钟小学现有在职教职工42人，其中专任教师42人，临聘食堂工人3人；现有退休教职工33人，教职工遗属5人。本校现设有校长办公室、行政办公室、德育办公室、安全办公室、教导处、后勤办公室、教师办公室。</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三、收支预算总体情况</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综合预算的原则，武胜县鸣钟乡小学所有收入和支出均纳入部门预算管理。收入包括：一般公共预算拨款收入、事业收入；支出包括：教育支出、社会保障和就业支出、医疗卫生与计划生育支出、住房保障支出。鸣钟小学2021年收支总预算为4,851,509.86元，其中：当年财政拨款收入4,851,509.86元，上年结转收入0元。相应安排支出预4,851,509.86元，其中：工资福利支出4781394.88元，日常公用支出31358.58元，对个人和家庭的补助支出38756.4元，专项支出0元。</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（一）收入预算情况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鸣钟小学2021年收入预算4,851,509.86元，其中：一般公共预算拨款收入4,851,509.86元，占100%；事业收入0元，鸣钟小学没有事业收入，占0%。</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（二）支出预算情况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鸣钟小学2021年支出预算4,851,509.66元，其中：基本支出4,851,509.86元，占100%;项目支出0元，暂未纳入预算，占0%。</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四、财政拨款收支预算情况说明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2021年鸣钟小学部门预算财政拨款收支总预算4,851,509.86元。收入包括：本年一般公共预算拨款收入4,851,509.86元；支出包括：教育支出3,563,027.42元、社会保障和就业支出501,737.28元、医疗卫生与计划生育支出410,442.20元、住房保障支出376,302.96元。</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五、一般公共预算当年拨款情况说明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（一）一般公共预算当年拨款规模变化情况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鸣钟小学2021年一般公共预算当年拨款4,851,509.86元，比2020年预算数增加121757元，主要原因是2021年增加了教师工资调标和各种社保缴费增加。</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（二）一般公共预算当年拨款结构情况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教育支出3,563,027.42元，占73.44%、社会保障和就业支出501,737.28元，占10.34%、医疗卫生与计划生育支出410,442.20元，占8.46%、住房保障支出376,302.96元，占7.75%。.</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（三）一般公共预算当年拨款具体使用情况</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1.教育支出（类）普通教育（款）小学教育（项）2021年预算数为3,563,027.42元，主要用于：小学教育教职工基本工资、津补贴等基本支出。</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2.社会保障和就业支出（类）行政事业单位（款）机关事业单位基本养老保险（项）2021年预算数为501,737.28元，主要用于鸣钟小学教职工养老保险缴费。</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3.医疗卫生与计划生育支出（类）行政事业单位医疗（款）公务员医疗补助（项）2021年预算数为62717.16元，主要用于：鸣钟小学公务员医疗补助经费。</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4.医疗卫生与计划生育支出（类）行政事业单位医疗（款）事业单位医疗（项）2021年预算数为306099.15元，主要用于：鸣钟小学基本医疗保险缴费。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5.医疗卫生与计划生育支出（类）行政事业单位医疗（款）其他行政事业单位医疗支出（项）2021年预算数为41625.89元，主要用于：鸣钟小学大病医疗保险缴费。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住房保障支出（类）住房改革支出（款）住房公积金（项）2021年预算数为376302.96元，主要用于：鸣钟小学按广安市人力资源和社会保障局、财政局规定的基本工资和津贴补贴以及规定比例为职工缴纳的住房公积金。</w:t>
      </w:r>
    </w:p>
    <w:p>
      <w:pPr>
        <w:spacing w:line="0" w:lineRule="atLeast"/>
        <w:ind w:firstLine="643" w:firstLineChars="200"/>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六、一般公共预算基本支出情况说明</w:t>
      </w:r>
      <w:r>
        <w:rPr>
          <w:rFonts w:hint="eastAsia" w:ascii="仿宋" w:hAnsi="仿宋" w:eastAsia="仿宋" w:cs="仿宋"/>
          <w:b/>
          <w:bCs/>
          <w:kern w:val="2"/>
          <w:sz w:val="32"/>
          <w:szCs w:val="32"/>
          <w:lang w:val="en-US" w:eastAsia="zh-CN" w:bidi="ar-SA"/>
        </w:rPr>
        <w:br w:type="textWrapping"/>
      </w:r>
      <w:r>
        <w:rPr>
          <w:rFonts w:hint="eastAsia" w:ascii="仿宋" w:hAnsi="仿宋" w:eastAsia="仿宋" w:cs="仿宋"/>
          <w:kern w:val="2"/>
          <w:sz w:val="32"/>
          <w:szCs w:val="32"/>
          <w:lang w:val="en-US" w:eastAsia="zh-CN" w:bidi="ar-SA"/>
        </w:rPr>
        <w:t>　　武胜县鸣钟小学校2021年一般公共预算基本支出4,851,509.86元，其中：人员经费4820151.2元，主要包括：基本工资、津贴补贴、职工基本医疗保险缴费、公务员医疗补助缴费、其他社会保障缴费、绩效工资、机关事业单位基本养老保险缴费、独子费、农村义教补助、生活补助、住房公积金缴费。</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公用经费31358.58元，主要用于：教职工工会经费。</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七、“三公”经费财政拨款预算安排情况说明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鸣钟小学2021年“三公”经费财政拨款预算数0元，暂未纳入预算。 </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八、政府性基金预算支出情况说明</w:t>
      </w:r>
    </w:p>
    <w:p>
      <w:pPr>
        <w:spacing w:line="0" w:lineRule="atLeast"/>
        <w:ind w:firstLine="640" w:firstLineChars="200"/>
        <w:rPr>
          <w:rFonts w:hint="eastAsia" w:ascii="仿宋" w:hAnsi="仿宋" w:eastAsia="仿宋" w:cs="仿宋"/>
          <w:b/>
          <w:bCs/>
          <w:kern w:val="2"/>
          <w:sz w:val="32"/>
          <w:szCs w:val="32"/>
          <w:lang w:val="en-US" w:eastAsia="zh-CN" w:bidi="ar-SA"/>
        </w:rPr>
      </w:pPr>
      <w:r>
        <w:rPr>
          <w:rFonts w:hint="eastAsia" w:ascii="仿宋" w:hAnsi="仿宋" w:eastAsia="仿宋" w:cs="仿宋"/>
          <w:kern w:val="2"/>
          <w:sz w:val="32"/>
          <w:szCs w:val="32"/>
          <w:lang w:val="en-US" w:eastAsia="zh-CN" w:bidi="ar-SA"/>
        </w:rPr>
        <w:t>鸣钟小学2021年未安排政府性基金预算。</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xml:space="preserve">　 </w:t>
      </w:r>
      <w:r>
        <w:rPr>
          <w:rFonts w:hint="eastAsia" w:ascii="仿宋" w:hAnsi="仿宋" w:eastAsia="仿宋" w:cs="仿宋"/>
          <w:b/>
          <w:bCs/>
          <w:kern w:val="2"/>
          <w:sz w:val="32"/>
          <w:szCs w:val="32"/>
          <w:lang w:val="en-US" w:eastAsia="zh-CN" w:bidi="ar-SA"/>
        </w:rPr>
        <w:t>九、其他重要事项的情况说明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（一）政府采购情况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2021年，鸣钟小学未安排政府采购预算。</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（二）学生生均公用经费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按照我县部门预算要求，我县2021年学校生均公用经费拨款收支均未纳入部门预算。具体收入、支出明细情况将在我校2021年部门决算公开资料中体现。</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十、名词解释</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1.一般公共预算拨款收入：指市级财政当年拨付的资金。</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2.上年结转：指以前年度尚未完成，结转到本年仍按原规定用途继续使用的资金。</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3.一般公共服务（类）财政事务（款）行政运行（项）：指厅机关及参公管理事业单位用于保障机构正常运行、开展日常工作的基本支出。</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4.一般公共服务（类）财政事务（款）一般行政管理事务（项）：指厅机关及参公管理事业单位开展财政综合业务、预决算编审等未单独设置项级科目的专门性财政管理工作的项目支出。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5.基本支出：指为保证机构正常运转，完成日常工作任务而发生的人员支出和公用支出。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6.项目支出：指在基本支出之外为完成特定行政任务和事业发展目标所发生的支出。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8.机关运行经费：为保障行政单位（包含参照公务员法管理的事业单位）运行用于购买货物和服务的各项资金。包括办公及印刷费、邮电费、差旅费、会议费一般设备购置费等费用开支。</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 xml:space="preserve"> 附件：表1 部门收支总表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表1-1 部门收入总表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表1-2 部门支出总表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表2 财政拨款收支总表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表2-1财政拨款支出预算表（政府经济分类科目）</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 一般公共预算支出预算表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表3-1 一般公共预算基本支出预算表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表3-2一般公共预算项目支出预算表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表3-3 一般公共预算“三公”经费支出表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表4 政府性基金支出预算表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表4-1 政府性基金预算“三公”经费支出预算表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表5 国有资本经营预算支出预算表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表6 2021年部门预算项目绩效目标</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表7部门整体支出绩效目标表</w:t>
      </w:r>
    </w:p>
    <w:p>
      <w:pPr>
        <w:spacing w:line="0" w:lineRule="atLeast"/>
        <w:ind w:firstLine="640" w:firstLineChars="200"/>
        <w:rPr>
          <w:rFonts w:hint="eastAsia" w:ascii="仿宋" w:hAnsi="仿宋" w:eastAsia="仿宋" w:cs="仿宋"/>
          <w:kern w:val="2"/>
          <w:sz w:val="32"/>
          <w:szCs w:val="32"/>
          <w:lang w:val="en-US" w:eastAsia="zh-CN" w:bidi="ar-SA"/>
        </w:rPr>
      </w:pPr>
    </w:p>
    <w:p>
      <w:pPr>
        <w:spacing w:line="0" w:lineRule="atLeast"/>
        <w:ind w:firstLine="640" w:firstLineChars="200"/>
        <w:rPr>
          <w:rFonts w:hint="eastAsia" w:ascii="仿宋" w:hAnsi="仿宋" w:eastAsia="仿宋" w:cs="仿宋"/>
          <w:kern w:val="2"/>
          <w:sz w:val="32"/>
          <w:szCs w:val="32"/>
          <w:lang w:val="en-US" w:eastAsia="zh-CN" w:bidi="ar-SA"/>
        </w:rPr>
      </w:pPr>
    </w:p>
    <w:sectPr>
      <w:headerReference r:id="rId3" w:type="default"/>
      <w:footerReference r:id="rId4" w:type="default"/>
      <w:pgSz w:w="11906" w:h="16838"/>
      <w:pgMar w:top="1440" w:right="1800" w:bottom="1440" w:left="1800" w:header="851" w:footer="992" w:gutter="0"/>
      <w:cols w:space="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5</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B6861E"/>
    <w:multiLevelType w:val="singleLevel"/>
    <w:tmpl w:val="62B6861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val="1"/>
  <w:bordersDoNotSurroundFooter w:val="1"/>
  <w:doNotTrackMoves/>
  <w:documentProtection w:enforcement="0"/>
  <w:defaultTabStop w:val="420"/>
  <w:drawingGridVerticalSpacing w:val="16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76C4"/>
    <w:rsid w:val="000B1C1D"/>
    <w:rsid w:val="000B6BA2"/>
    <w:rsid w:val="000C2728"/>
    <w:rsid w:val="00143461"/>
    <w:rsid w:val="00146567"/>
    <w:rsid w:val="00146650"/>
    <w:rsid w:val="00151FAA"/>
    <w:rsid w:val="00153DA1"/>
    <w:rsid w:val="00162B27"/>
    <w:rsid w:val="0017254E"/>
    <w:rsid w:val="00172A27"/>
    <w:rsid w:val="00190694"/>
    <w:rsid w:val="00196633"/>
    <w:rsid w:val="001A137F"/>
    <w:rsid w:val="001E290D"/>
    <w:rsid w:val="001F5EEA"/>
    <w:rsid w:val="00286CA7"/>
    <w:rsid w:val="002D0530"/>
    <w:rsid w:val="002D6938"/>
    <w:rsid w:val="002E1A98"/>
    <w:rsid w:val="00331FE6"/>
    <w:rsid w:val="00335F89"/>
    <w:rsid w:val="00356C3C"/>
    <w:rsid w:val="00365D84"/>
    <w:rsid w:val="00372CBC"/>
    <w:rsid w:val="00375EFD"/>
    <w:rsid w:val="003B4967"/>
    <w:rsid w:val="003E592B"/>
    <w:rsid w:val="003F1A8F"/>
    <w:rsid w:val="00400954"/>
    <w:rsid w:val="00441AB4"/>
    <w:rsid w:val="00441E30"/>
    <w:rsid w:val="00445A3A"/>
    <w:rsid w:val="00452F64"/>
    <w:rsid w:val="00462611"/>
    <w:rsid w:val="004F0827"/>
    <w:rsid w:val="005211E0"/>
    <w:rsid w:val="00577E3B"/>
    <w:rsid w:val="005C0D72"/>
    <w:rsid w:val="005D2989"/>
    <w:rsid w:val="005D2BBD"/>
    <w:rsid w:val="006376EE"/>
    <w:rsid w:val="00673FC7"/>
    <w:rsid w:val="006C27A9"/>
    <w:rsid w:val="00740F27"/>
    <w:rsid w:val="007414E6"/>
    <w:rsid w:val="00770000"/>
    <w:rsid w:val="00784161"/>
    <w:rsid w:val="008230A6"/>
    <w:rsid w:val="00855567"/>
    <w:rsid w:val="00857C4B"/>
    <w:rsid w:val="00872DC5"/>
    <w:rsid w:val="008E547D"/>
    <w:rsid w:val="008E5BCF"/>
    <w:rsid w:val="009100DA"/>
    <w:rsid w:val="00914D17"/>
    <w:rsid w:val="00922E34"/>
    <w:rsid w:val="0093566A"/>
    <w:rsid w:val="009627E6"/>
    <w:rsid w:val="009874CA"/>
    <w:rsid w:val="00993764"/>
    <w:rsid w:val="0099545C"/>
    <w:rsid w:val="009B1F93"/>
    <w:rsid w:val="00A13138"/>
    <w:rsid w:val="00A404A0"/>
    <w:rsid w:val="00A516B5"/>
    <w:rsid w:val="00AA3834"/>
    <w:rsid w:val="00AB5CF1"/>
    <w:rsid w:val="00AE52B9"/>
    <w:rsid w:val="00B12D17"/>
    <w:rsid w:val="00B57064"/>
    <w:rsid w:val="00BE1C03"/>
    <w:rsid w:val="00C54436"/>
    <w:rsid w:val="00C7318C"/>
    <w:rsid w:val="00C8580C"/>
    <w:rsid w:val="00CE1123"/>
    <w:rsid w:val="00DE66B8"/>
    <w:rsid w:val="00E212BE"/>
    <w:rsid w:val="00E26EDF"/>
    <w:rsid w:val="00E6247E"/>
    <w:rsid w:val="00E633CE"/>
    <w:rsid w:val="00E906EC"/>
    <w:rsid w:val="00EF1E96"/>
    <w:rsid w:val="00F05E13"/>
    <w:rsid w:val="00F06A9A"/>
    <w:rsid w:val="00F213EB"/>
    <w:rsid w:val="00F32154"/>
    <w:rsid w:val="00F42E0F"/>
    <w:rsid w:val="00F53BDD"/>
    <w:rsid w:val="00F60107"/>
    <w:rsid w:val="00F602E9"/>
    <w:rsid w:val="00FF4A3F"/>
    <w:rsid w:val="01713BFB"/>
    <w:rsid w:val="044737CB"/>
    <w:rsid w:val="056C0994"/>
    <w:rsid w:val="076A5972"/>
    <w:rsid w:val="077547A4"/>
    <w:rsid w:val="07B70868"/>
    <w:rsid w:val="09233E64"/>
    <w:rsid w:val="093A3EC1"/>
    <w:rsid w:val="0ACA40AA"/>
    <w:rsid w:val="0B322D32"/>
    <w:rsid w:val="0BAB61EF"/>
    <w:rsid w:val="0C6E520B"/>
    <w:rsid w:val="0EDB4DE2"/>
    <w:rsid w:val="100667D7"/>
    <w:rsid w:val="10107C42"/>
    <w:rsid w:val="114D528F"/>
    <w:rsid w:val="11586A88"/>
    <w:rsid w:val="13922178"/>
    <w:rsid w:val="143A3E8F"/>
    <w:rsid w:val="14F73C8F"/>
    <w:rsid w:val="159926E3"/>
    <w:rsid w:val="15E90A28"/>
    <w:rsid w:val="16B4380B"/>
    <w:rsid w:val="172543E6"/>
    <w:rsid w:val="17924DAC"/>
    <w:rsid w:val="18681117"/>
    <w:rsid w:val="1CEA7284"/>
    <w:rsid w:val="1D0F0666"/>
    <w:rsid w:val="1EDF71D1"/>
    <w:rsid w:val="1FC5506D"/>
    <w:rsid w:val="1FDA24E8"/>
    <w:rsid w:val="21917D66"/>
    <w:rsid w:val="230B4C6D"/>
    <w:rsid w:val="23EB5229"/>
    <w:rsid w:val="26C7115C"/>
    <w:rsid w:val="274D7136"/>
    <w:rsid w:val="27AE7567"/>
    <w:rsid w:val="287A3C39"/>
    <w:rsid w:val="28E53F93"/>
    <w:rsid w:val="2A395BB1"/>
    <w:rsid w:val="2A42394E"/>
    <w:rsid w:val="2B7E4AA6"/>
    <w:rsid w:val="2D4C3B91"/>
    <w:rsid w:val="2D5858DC"/>
    <w:rsid w:val="2DC25681"/>
    <w:rsid w:val="2DF9124F"/>
    <w:rsid w:val="2F060BAD"/>
    <w:rsid w:val="2F5B7687"/>
    <w:rsid w:val="2FF15346"/>
    <w:rsid w:val="31981A51"/>
    <w:rsid w:val="327E3D1C"/>
    <w:rsid w:val="330F519D"/>
    <w:rsid w:val="337A2109"/>
    <w:rsid w:val="3431601B"/>
    <w:rsid w:val="3484187B"/>
    <w:rsid w:val="359B74E2"/>
    <w:rsid w:val="36E611E9"/>
    <w:rsid w:val="375C5641"/>
    <w:rsid w:val="378B343F"/>
    <w:rsid w:val="38B5267F"/>
    <w:rsid w:val="3A4A1B9E"/>
    <w:rsid w:val="3B6E5069"/>
    <w:rsid w:val="3D8043FD"/>
    <w:rsid w:val="3D852CD9"/>
    <w:rsid w:val="3DCE2A1E"/>
    <w:rsid w:val="3F7424C7"/>
    <w:rsid w:val="3F7C406D"/>
    <w:rsid w:val="3F83528C"/>
    <w:rsid w:val="404C08C0"/>
    <w:rsid w:val="40FB5FE2"/>
    <w:rsid w:val="421E32E5"/>
    <w:rsid w:val="4239728C"/>
    <w:rsid w:val="434B1F49"/>
    <w:rsid w:val="4377531A"/>
    <w:rsid w:val="45867668"/>
    <w:rsid w:val="46156631"/>
    <w:rsid w:val="463B7073"/>
    <w:rsid w:val="48E64BD3"/>
    <w:rsid w:val="494017DD"/>
    <w:rsid w:val="4D087EAB"/>
    <w:rsid w:val="4DF23C3C"/>
    <w:rsid w:val="4E5302D6"/>
    <w:rsid w:val="500D2B08"/>
    <w:rsid w:val="5083424B"/>
    <w:rsid w:val="512C49AC"/>
    <w:rsid w:val="51641E6B"/>
    <w:rsid w:val="52502846"/>
    <w:rsid w:val="54B22B51"/>
    <w:rsid w:val="55124178"/>
    <w:rsid w:val="55D3431B"/>
    <w:rsid w:val="56392BEC"/>
    <w:rsid w:val="567437AD"/>
    <w:rsid w:val="56B56E06"/>
    <w:rsid w:val="571531C7"/>
    <w:rsid w:val="59675DAA"/>
    <w:rsid w:val="5B8822D2"/>
    <w:rsid w:val="5F7A31A6"/>
    <w:rsid w:val="5FEC5423"/>
    <w:rsid w:val="612017D0"/>
    <w:rsid w:val="629048DC"/>
    <w:rsid w:val="639B24D6"/>
    <w:rsid w:val="65A15440"/>
    <w:rsid w:val="67F44566"/>
    <w:rsid w:val="68A037A1"/>
    <w:rsid w:val="69FA56CF"/>
    <w:rsid w:val="6A3208AF"/>
    <w:rsid w:val="6B293E5E"/>
    <w:rsid w:val="6C844ECE"/>
    <w:rsid w:val="6D982570"/>
    <w:rsid w:val="6D9B173F"/>
    <w:rsid w:val="6EF03D4B"/>
    <w:rsid w:val="70F22844"/>
    <w:rsid w:val="71421BBB"/>
    <w:rsid w:val="716A5A2D"/>
    <w:rsid w:val="71FD0CCE"/>
    <w:rsid w:val="726C30C8"/>
    <w:rsid w:val="72D52036"/>
    <w:rsid w:val="738D0A37"/>
    <w:rsid w:val="75046C62"/>
    <w:rsid w:val="757139C1"/>
    <w:rsid w:val="75A169C4"/>
    <w:rsid w:val="76797AA0"/>
    <w:rsid w:val="7822120B"/>
    <w:rsid w:val="7960640E"/>
    <w:rsid w:val="79C32864"/>
    <w:rsid w:val="79CD3929"/>
    <w:rsid w:val="7A1330B3"/>
    <w:rsid w:val="7A9408A0"/>
    <w:rsid w:val="7AC20127"/>
    <w:rsid w:val="7B2F1B0F"/>
    <w:rsid w:val="7B6332EC"/>
    <w:rsid w:val="7C66279A"/>
    <w:rsid w:val="7DD0685B"/>
    <w:rsid w:val="7DFF2B0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7">
    <w:name w:val="Strong"/>
    <w:basedOn w:val="6"/>
    <w:qFormat/>
    <w:uiPriority w:val="0"/>
    <w:rPr>
      <w:b/>
      <w:bCs/>
    </w:rPr>
  </w:style>
  <w:style w:type="character" w:styleId="8">
    <w:name w:val="page number"/>
    <w:basedOn w:val="6"/>
    <w:qFormat/>
    <w:uiPriority w:val="0"/>
  </w:style>
  <w:style w:type="character" w:customStyle="1" w:styleId="10">
    <w:name w:val="页脚 Char"/>
    <w:basedOn w:val="6"/>
    <w:link w:val="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44D28E-6077-4BE1-9B7B-1CAB666284E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859</Words>
  <Characters>4899</Characters>
  <Lines>40</Lines>
  <Paragraphs>11</Paragraphs>
  <TotalTime>17</TotalTime>
  <ScaleCrop>false</ScaleCrop>
  <LinksUpToDate>false</LinksUpToDate>
  <CharactersWithSpaces>5747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刘军</cp:lastModifiedBy>
  <dcterms:modified xsi:type="dcterms:W3CDTF">2022-06-27T10:09:03Z</dcterms:modified>
  <dc:title>关于xxx2015年部门预算编制</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