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b/>
          <w:bCs/>
          <w:sz w:val="44"/>
          <w:szCs w:val="44"/>
        </w:rPr>
      </w:pPr>
    </w:p>
    <w:p>
      <w:pPr>
        <w:jc w:val="center"/>
        <w:rPr>
          <w:rFonts w:hint="eastAsia" w:ascii="方正小标宋_GBK" w:hAnsi="方正小标宋_GBK" w:eastAsia="方正小标宋_GBK" w:cs="方正小标宋_GBK"/>
          <w:b/>
          <w:bCs/>
          <w:sz w:val="44"/>
          <w:szCs w:val="44"/>
        </w:rPr>
      </w:pPr>
    </w:p>
    <w:p>
      <w:pPr>
        <w:jc w:val="center"/>
        <w:rPr>
          <w:rFonts w:hint="eastAsia" w:ascii="方正小标宋_GBK" w:hAnsi="方正小标宋_GBK" w:eastAsia="方正小标宋_GBK" w:cs="方正小标宋_GBK"/>
          <w:b/>
          <w:bCs/>
          <w:sz w:val="48"/>
          <w:szCs w:val="48"/>
          <w:lang w:val="en-US" w:eastAsia="zh-CN"/>
        </w:rPr>
      </w:pPr>
      <w:bookmarkStart w:id="0" w:name="_GoBack"/>
      <w:r>
        <w:rPr>
          <w:rFonts w:hint="eastAsia" w:ascii="方正小标宋_GBK" w:eastAsia="方正小标宋_GBK"/>
          <w:b/>
          <w:bCs/>
          <w:sz w:val="48"/>
          <w:szCs w:val="48"/>
        </w:rPr>
        <w:t>2021年</w:t>
      </w:r>
      <w:r>
        <w:rPr>
          <w:rFonts w:hint="eastAsia" w:ascii="方正小标宋_GBK" w:eastAsia="方正小标宋_GBK"/>
          <w:b/>
          <w:bCs/>
          <w:sz w:val="48"/>
          <w:szCs w:val="48"/>
          <w:lang w:val="en-US" w:eastAsia="zh-CN"/>
        </w:rPr>
        <w:t>度</w:t>
      </w:r>
    </w:p>
    <w:p>
      <w:pPr>
        <w:jc w:val="center"/>
        <w:rPr>
          <w:rFonts w:hint="eastAsia" w:ascii="方正小标宋_GBK" w:hAnsi="方正小标宋_GBK" w:eastAsia="方正小标宋_GBK" w:cs="方正小标宋_GBK"/>
          <w:b/>
          <w:bCs/>
          <w:sz w:val="48"/>
          <w:szCs w:val="48"/>
        </w:rPr>
      </w:pPr>
      <w:r>
        <w:rPr>
          <w:rFonts w:hint="eastAsia" w:ascii="方正小标宋_GBK" w:hAnsi="方正小标宋_GBK" w:eastAsia="方正小标宋_GBK" w:cs="方正小标宋_GBK"/>
          <w:b/>
          <w:bCs/>
          <w:sz w:val="48"/>
          <w:szCs w:val="48"/>
        </w:rPr>
        <w:t>四川省武胜县</w:t>
      </w:r>
      <w:r>
        <w:rPr>
          <w:rFonts w:hint="eastAsia" w:ascii="方正小标宋_GBK" w:hAnsi="方正小标宋_GBK" w:eastAsia="方正小标宋_GBK" w:cs="方正小标宋_GBK"/>
          <w:b/>
          <w:bCs/>
          <w:sz w:val="48"/>
          <w:szCs w:val="48"/>
          <w:lang w:eastAsia="zh-CN"/>
        </w:rPr>
        <w:t>礼安</w:t>
      </w:r>
      <w:r>
        <w:rPr>
          <w:rFonts w:hint="eastAsia" w:ascii="方正小标宋_GBK" w:hAnsi="方正小标宋_GBK" w:eastAsia="方正小标宋_GBK" w:cs="方正小标宋_GBK"/>
          <w:b/>
          <w:bCs/>
          <w:sz w:val="48"/>
          <w:szCs w:val="48"/>
        </w:rPr>
        <w:t>初级中学校</w:t>
      </w:r>
    </w:p>
    <w:p>
      <w:pPr>
        <w:spacing w:line="600" w:lineRule="exact"/>
        <w:ind w:firstLine="2401" w:firstLineChars="500"/>
        <w:jc w:val="both"/>
        <w:rPr>
          <w:rFonts w:hint="eastAsia" w:ascii="方正小标宋_GBK" w:eastAsia="方正小标宋_GBK"/>
          <w:sz w:val="48"/>
          <w:szCs w:val="48"/>
        </w:rPr>
      </w:pPr>
      <w:r>
        <w:rPr>
          <w:rFonts w:hint="eastAsia" w:ascii="方正小标宋_GBK" w:eastAsia="方正小标宋_GBK"/>
          <w:b/>
          <w:bCs/>
          <w:sz w:val="48"/>
          <w:szCs w:val="48"/>
        </w:rPr>
        <w:t>部门预算编制说明</w:t>
      </w:r>
    </w:p>
    <w:bookmarkEnd w:id="0"/>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widowControl/>
        <w:jc w:val="center"/>
        <w:rPr>
          <w:rFonts w:ascii="黑体" w:hAnsi="黑体" w:eastAsia="黑体"/>
          <w:color w:val="000000"/>
          <w:sz w:val="48"/>
          <w:szCs w:val="48"/>
        </w:rPr>
      </w:pPr>
      <w:r>
        <w:rPr>
          <w:rFonts w:hint="eastAsia" w:ascii="黑体" w:hAnsi="黑体" w:eastAsia="黑体"/>
          <w:color w:val="000000"/>
          <w:sz w:val="48"/>
          <w:szCs w:val="48"/>
        </w:rPr>
        <w:t>目录</w:t>
      </w:r>
    </w:p>
    <w:p>
      <w:pPr>
        <w:widowControl/>
        <w:jc w:val="center"/>
        <w:rPr>
          <w:rFonts w:ascii="黑体" w:hAnsi="黑体" w:eastAsia="黑体"/>
          <w:sz w:val="28"/>
          <w:szCs w:val="28"/>
        </w:rPr>
      </w:pPr>
    </w:p>
    <w:p>
      <w:pPr>
        <w:pStyle w:val="4"/>
      </w:pPr>
      <w:r>
        <w:rPr>
          <w:rFonts w:hint="eastAsia"/>
        </w:rPr>
        <w:t>公开时间：</w:t>
      </w:r>
      <w:r>
        <w:rPr>
          <w:rFonts w:hint="eastAsia"/>
          <w:lang w:eastAsia="zh-CN"/>
        </w:rPr>
        <w:t>202</w:t>
      </w:r>
      <w:r>
        <w:rPr>
          <w:rFonts w:hint="eastAsia"/>
          <w:lang w:val="en-US" w:eastAsia="zh-CN"/>
        </w:rPr>
        <w:t>1</w:t>
      </w:r>
      <w:r>
        <w:rPr>
          <w:rFonts w:hint="eastAsia"/>
        </w:rPr>
        <w:t>年</w:t>
      </w:r>
      <w:r>
        <w:rPr>
          <w:rFonts w:hint="eastAsia"/>
          <w:lang w:val="en-US" w:eastAsia="zh-CN"/>
        </w:rPr>
        <w:t>2</w:t>
      </w:r>
      <w:r>
        <w:rPr>
          <w:rFonts w:hint="eastAsia"/>
        </w:rPr>
        <w:t xml:space="preserve"> 月 </w:t>
      </w:r>
      <w:r>
        <w:rPr>
          <w:rFonts w:hint="eastAsia"/>
          <w:lang w:val="en-US" w:eastAsia="zh-CN"/>
        </w:rPr>
        <w:t>25</w:t>
      </w:r>
      <w:r>
        <w:rPr>
          <w:rFonts w:hint="eastAsia"/>
        </w:rPr>
        <w:t>日</w:t>
      </w:r>
    </w:p>
    <w:p/>
    <w:p>
      <w:pPr>
        <w:widowControl/>
        <w:jc w:val="center"/>
      </w:pPr>
      <w:r>
        <w:rPr>
          <w:rFonts w:ascii="黑体" w:hAnsi="黑体" w:eastAsia="黑体"/>
          <w:color w:val="000000"/>
          <w:sz w:val="48"/>
          <w:szCs w:val="48"/>
        </w:rPr>
        <w:fldChar w:fldCharType="begin"/>
      </w:r>
      <w:r>
        <w:rPr>
          <w:rFonts w:ascii="黑体" w:hAnsi="黑体" w:eastAsia="黑体"/>
          <w:color w:val="000000"/>
          <w:sz w:val="48"/>
          <w:szCs w:val="48"/>
        </w:rPr>
        <w:instrText xml:space="preserve"> TOC \o "1-2" \h \z \u </w:instrText>
      </w:r>
      <w:r>
        <w:rPr>
          <w:rFonts w:ascii="黑体" w:hAnsi="黑体" w:eastAsia="黑体"/>
          <w:color w:val="000000"/>
          <w:sz w:val="48"/>
          <w:szCs w:val="48"/>
        </w:rPr>
        <w:fldChar w:fldCharType="separate"/>
      </w:r>
    </w:p>
    <w:p/>
    <w:p>
      <w:pPr>
        <w:pStyle w:val="4"/>
        <w:rPr>
          <w:rFonts w:cs="黑体"/>
        </w:rPr>
      </w:pPr>
      <w:r>
        <w:fldChar w:fldCharType="begin"/>
      </w:r>
      <w:r>
        <w:instrText xml:space="preserve"> HYPERLINK \l "_Toc15396599" </w:instrText>
      </w:r>
      <w:r>
        <w:fldChar w:fldCharType="separate"/>
      </w:r>
      <w:r>
        <w:rPr>
          <w:rStyle w:val="9"/>
          <w:rFonts w:hint="eastAsia"/>
        </w:rPr>
        <w:t>第一部分</w:t>
      </w:r>
      <w:r>
        <w:rPr>
          <w:rStyle w:val="9"/>
        </w:rPr>
        <w:t xml:space="preserve"> </w:t>
      </w:r>
      <w:r>
        <w:rPr>
          <w:rStyle w:val="9"/>
          <w:rFonts w:hint="eastAsia"/>
        </w:rPr>
        <w:t>部门概况</w:t>
      </w:r>
      <w:r>
        <w:tab/>
      </w:r>
      <w:r>
        <w:rPr>
          <w:rFonts w:hint="eastAsia"/>
          <w:lang w:val="en-US" w:eastAsia="zh-CN"/>
        </w:rPr>
        <w:t>3</w:t>
      </w:r>
      <w:r>
        <w:rPr>
          <w:rFonts w:hint="eastAsia"/>
        </w:rPr>
        <w:fldChar w:fldCharType="end"/>
      </w:r>
    </w:p>
    <w:p>
      <w:pPr>
        <w:pStyle w:val="5"/>
        <w:rPr>
          <w:rFonts w:hint="eastAsia" w:ascii="仿宋" w:hAnsi="仿宋" w:eastAsia="仿宋"/>
          <w:sz w:val="28"/>
          <w:szCs w:val="28"/>
        </w:rPr>
      </w:pPr>
      <w:r>
        <w:fldChar w:fldCharType="begin"/>
      </w:r>
      <w:r>
        <w:instrText xml:space="preserve"> HYPERLINK \l "_Toc15396600" </w:instrText>
      </w:r>
      <w:r>
        <w:fldChar w:fldCharType="separate"/>
      </w:r>
      <w:r>
        <w:rPr>
          <w:rStyle w:val="9"/>
          <w:rFonts w:hint="eastAsia" w:ascii="仿宋" w:hAnsi="仿宋" w:eastAsia="仿宋"/>
          <w:sz w:val="28"/>
          <w:szCs w:val="28"/>
        </w:rPr>
        <w:t>基本职能及主要工作</w:t>
      </w:r>
      <w:r>
        <w:rPr>
          <w:rFonts w:ascii="仿宋" w:hAnsi="仿宋" w:eastAsia="仿宋"/>
          <w:sz w:val="28"/>
          <w:szCs w:val="28"/>
        </w:rPr>
        <w:tab/>
      </w:r>
      <w:r>
        <w:rPr>
          <w:rFonts w:hint="eastAsia" w:ascii="仿宋" w:hAnsi="仿宋" w:eastAsia="仿宋"/>
          <w:sz w:val="28"/>
          <w:szCs w:val="28"/>
          <w:lang w:val="en-US" w:eastAsia="zh-CN"/>
        </w:rPr>
        <w:t>3</w:t>
      </w:r>
      <w:r>
        <w:rPr>
          <w:rFonts w:hint="eastAsia" w:ascii="仿宋" w:hAnsi="仿宋" w:eastAsia="仿宋"/>
          <w:sz w:val="28"/>
          <w:szCs w:val="28"/>
        </w:rPr>
        <w:fldChar w:fldCharType="end"/>
      </w:r>
    </w:p>
    <w:p>
      <w:pPr>
        <w:pStyle w:val="5"/>
        <w:ind w:left="0" w:leftChars="0" w:firstLine="0" w:firstLineChars="0"/>
        <w:rPr>
          <w:rFonts w:ascii="仿宋" w:hAnsi="仿宋" w:eastAsia="仿宋" w:cs="黑体"/>
          <w:sz w:val="28"/>
          <w:szCs w:val="28"/>
        </w:rPr>
      </w:pPr>
      <w:r>
        <w:rPr>
          <w:rStyle w:val="9"/>
          <w:rFonts w:hint="eastAsia" w:ascii="仿宋" w:hAnsi="仿宋" w:eastAsia="仿宋" w:cs="仿宋"/>
          <w:sz w:val="28"/>
          <w:szCs w:val="28"/>
        </w:rPr>
        <w:t>第二部分</w:t>
      </w:r>
      <w:r>
        <w:rPr>
          <w:rStyle w:val="9"/>
          <w:rFonts w:hint="eastAsia" w:ascii="仿宋" w:hAnsi="仿宋" w:eastAsia="仿宋" w:cs="仿宋"/>
          <w:sz w:val="28"/>
          <w:szCs w:val="28"/>
          <w:lang w:val="en-US" w:eastAsia="zh-CN"/>
        </w:rPr>
        <w:t>部门预算单位</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"_Toc15396601" </w:instrText>
      </w:r>
      <w:r>
        <w:rPr>
          <w:rFonts w:hint="eastAsia" w:ascii="仿宋" w:hAnsi="仿宋" w:eastAsia="仿宋" w:cs="仿宋"/>
          <w:sz w:val="28"/>
          <w:szCs w:val="28"/>
        </w:rPr>
        <w:fldChar w:fldCharType="separate"/>
      </w:r>
      <w:r>
        <w:rPr>
          <w:rFonts w:hint="eastAsia" w:ascii="仿宋" w:hAnsi="仿宋" w:eastAsia="仿宋" w:cs="仿宋"/>
          <w:sz w:val="28"/>
          <w:szCs w:val="28"/>
          <w:lang w:val="en-US" w:eastAsia="zh-CN"/>
        </w:rPr>
        <w:t>构成情况</w:t>
      </w:r>
      <w:r>
        <w:rPr>
          <w:rFonts w:hint="eastAsia" w:ascii="仿宋" w:hAnsi="仿宋" w:eastAsia="仿宋" w:cs="仿宋"/>
          <w:sz w:val="28"/>
          <w:szCs w:val="28"/>
        </w:rPr>
        <w:tab/>
      </w:r>
      <w:r>
        <w:rPr>
          <w:rFonts w:hint="eastAsia" w:ascii="仿宋" w:hAnsi="仿宋" w:eastAsia="仿宋" w:cs="仿宋"/>
          <w:sz w:val="28"/>
          <w:szCs w:val="28"/>
          <w:lang w:val="en-US" w:eastAsia="zh-CN"/>
        </w:rPr>
        <w:t>8</w:t>
      </w:r>
      <w:r>
        <w:rPr>
          <w:rFonts w:hint="eastAsia" w:ascii="仿宋" w:hAnsi="仿宋" w:eastAsia="仿宋" w:cs="仿宋"/>
          <w:sz w:val="28"/>
          <w:szCs w:val="28"/>
        </w:rPr>
        <w:fldChar w:fldCharType="end"/>
      </w:r>
    </w:p>
    <w:p>
      <w:pPr>
        <w:pStyle w:val="4"/>
        <w:rPr>
          <w:rFonts w:hint="default" w:eastAsia="仿宋"/>
          <w:lang w:val="en-US" w:eastAsia="zh-CN"/>
        </w:rPr>
      </w:pPr>
      <w:r>
        <w:rPr>
          <w:rFonts w:hint="eastAsia"/>
          <w:lang w:val="en-US" w:eastAsia="zh-CN"/>
        </w:rPr>
        <w:t>第三部份</w:t>
      </w:r>
      <w:r>
        <w:fldChar w:fldCharType="begin"/>
      </w:r>
      <w:r>
        <w:instrText xml:space="preserve"> HYPERLINK \l "_Toc15396602" </w:instrText>
      </w:r>
      <w:r>
        <w:fldChar w:fldCharType="separate"/>
      </w:r>
      <w:r>
        <w:rPr>
          <w:rStyle w:val="9"/>
        </w:rPr>
        <w:t xml:space="preserve"> </w:t>
      </w:r>
      <w:r>
        <w:rPr>
          <w:rStyle w:val="9"/>
          <w:rFonts w:hint="eastAsia"/>
          <w:lang w:val="en-US" w:eastAsia="zh-CN"/>
        </w:rPr>
        <w:t>收支预算情况</w:t>
      </w:r>
      <w:r>
        <w:tab/>
      </w:r>
      <w:r>
        <w:fldChar w:fldCharType="end"/>
      </w:r>
      <w:r>
        <w:rPr>
          <w:rFonts w:hint="eastAsia"/>
          <w:lang w:val="en-US" w:eastAsia="zh-CN"/>
        </w:rPr>
        <w:t>8</w:t>
      </w:r>
    </w:p>
    <w:p>
      <w:pPr>
        <w:pStyle w:val="5"/>
        <w:ind w:left="0" w:leftChars="0" w:firstLine="0" w:firstLineChars="0"/>
        <w:rPr>
          <w:rFonts w:hint="eastAsia" w:ascii="仿宋" w:hAnsi="仿宋" w:eastAsia="仿宋" w:cs="仿宋"/>
          <w:sz w:val="28"/>
          <w:szCs w:val="28"/>
          <w:lang w:val="en-US" w:eastAsia="zh-CN"/>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"_Toc15396603" </w:instrText>
      </w:r>
      <w:r>
        <w:rPr>
          <w:rFonts w:hint="eastAsia" w:ascii="仿宋" w:hAnsi="仿宋" w:eastAsia="仿宋" w:cs="仿宋"/>
          <w:sz w:val="28"/>
          <w:szCs w:val="28"/>
        </w:rPr>
        <w:fldChar w:fldCharType="separate"/>
      </w:r>
      <w:r>
        <w:rPr>
          <w:rFonts w:hint="eastAsia" w:ascii="仿宋" w:hAnsi="仿宋" w:eastAsia="仿宋" w:cs="仿宋"/>
          <w:sz w:val="28"/>
          <w:szCs w:val="28"/>
          <w:lang w:val="en-US" w:eastAsia="zh-CN"/>
        </w:rPr>
        <w:t>第四部份财政拨款收支</w:t>
      </w:r>
      <w:r>
        <w:rPr>
          <w:rStyle w:val="9"/>
          <w:rFonts w:hint="eastAsia" w:ascii="仿宋" w:hAnsi="仿宋" w:eastAsia="仿宋" w:cs="仿宋"/>
          <w:bCs/>
          <w:sz w:val="28"/>
          <w:szCs w:val="28"/>
        </w:rPr>
        <w:t>情况</w:t>
      </w:r>
      <w:r>
        <w:rPr>
          <w:rFonts w:hint="eastAsia" w:ascii="仿宋" w:hAnsi="仿宋" w:eastAsia="仿宋" w:cs="仿宋"/>
          <w:sz w:val="28"/>
          <w:szCs w:val="28"/>
        </w:rPr>
        <w:tab/>
      </w:r>
      <w:r>
        <w:rPr>
          <w:rFonts w:hint="eastAsia" w:ascii="仿宋" w:hAnsi="仿宋" w:eastAsia="仿宋" w:cs="仿宋"/>
          <w:sz w:val="28"/>
          <w:szCs w:val="28"/>
        </w:rPr>
        <w:fldChar w:fldCharType="end"/>
      </w:r>
      <w:r>
        <w:rPr>
          <w:rFonts w:hint="eastAsia" w:ascii="仿宋" w:hAnsi="仿宋" w:eastAsia="仿宋" w:cs="仿宋"/>
          <w:sz w:val="28"/>
          <w:szCs w:val="28"/>
          <w:lang w:val="en-US" w:eastAsia="zh-CN"/>
        </w:rPr>
        <w:t>9</w:t>
      </w:r>
    </w:p>
    <w:p>
      <w:pPr>
        <w:pStyle w:val="5"/>
        <w:ind w:left="0" w:leftChars="0" w:firstLine="0" w:firstLineChars="0"/>
        <w:rPr>
          <w:rFonts w:ascii="仿宋" w:hAnsi="仿宋" w:eastAsia="仿宋" w:cs="黑体"/>
          <w:sz w:val="28"/>
          <w:szCs w:val="28"/>
        </w:rPr>
      </w:pPr>
      <w:r>
        <w:fldChar w:fldCharType="begin"/>
      </w:r>
      <w:r>
        <w:instrText xml:space="preserve"> HYPERLINK \l "_Toc15396604" </w:instrText>
      </w:r>
      <w:r>
        <w:fldChar w:fldCharType="separate"/>
      </w:r>
      <w:r>
        <w:rPr>
          <w:rStyle w:val="9"/>
          <w:rFonts w:hint="eastAsia" w:ascii="仿宋" w:hAnsi="仿宋" w:eastAsia="仿宋" w:cs="黑体"/>
          <w:bCs/>
          <w:sz w:val="28"/>
          <w:szCs w:val="28"/>
          <w:lang w:val="en-US" w:eastAsia="zh-CN"/>
        </w:rPr>
        <w:t>第五部份一般公共预算当年财政拨款</w:t>
      </w:r>
      <w:r>
        <w:rPr>
          <w:rStyle w:val="9"/>
          <w:rFonts w:hint="eastAsia" w:ascii="仿宋" w:hAnsi="仿宋" w:eastAsia="仿宋" w:cs="黑体"/>
          <w:bCs/>
          <w:sz w:val="28"/>
          <w:szCs w:val="28"/>
        </w:rPr>
        <w:t>情况</w:t>
      </w:r>
      <w:r>
        <w:rPr>
          <w:rFonts w:ascii="仿宋" w:hAnsi="仿宋" w:eastAsia="仿宋"/>
          <w:sz w:val="28"/>
          <w:szCs w:val="28"/>
        </w:rPr>
        <w:tab/>
      </w:r>
      <w:r>
        <w:rPr>
          <w:rFonts w:hint="eastAsia" w:ascii="仿宋" w:hAnsi="仿宋" w:eastAsia="仿宋"/>
          <w:sz w:val="28"/>
          <w:szCs w:val="28"/>
        </w:rPr>
        <w:t>9</w:t>
      </w:r>
      <w:r>
        <w:rPr>
          <w:rFonts w:ascii="仿宋" w:hAnsi="仿宋" w:eastAsia="仿宋"/>
          <w:sz w:val="28"/>
          <w:szCs w:val="28"/>
        </w:rPr>
        <w:fldChar w:fldCharType="end"/>
      </w:r>
    </w:p>
    <w:p>
      <w:pPr>
        <w:pStyle w:val="5"/>
        <w:ind w:left="0" w:leftChars="0" w:firstLine="0" w:firstLineChars="0"/>
        <w:rPr>
          <w:rFonts w:hint="default" w:ascii="仿宋" w:hAnsi="仿宋" w:eastAsia="仿宋" w:cs="黑体"/>
          <w:sz w:val="28"/>
          <w:szCs w:val="28"/>
          <w:lang w:val="en-US" w:eastAsia="zh-CN"/>
        </w:rPr>
      </w:pPr>
      <w:r>
        <w:fldChar w:fldCharType="begin"/>
      </w:r>
      <w:r>
        <w:instrText xml:space="preserve"> HYPERLINK \l "_Toc15396605" </w:instrText>
      </w:r>
      <w:r>
        <w:fldChar w:fldCharType="separate"/>
      </w:r>
      <w:r>
        <w:rPr>
          <w:rStyle w:val="9"/>
          <w:rFonts w:hint="eastAsia" w:ascii="仿宋" w:hAnsi="仿宋" w:eastAsia="仿宋" w:cs="黑体"/>
          <w:bCs/>
          <w:sz w:val="28"/>
          <w:szCs w:val="28"/>
          <w:lang w:val="en-US" w:eastAsia="zh-CN"/>
        </w:rPr>
        <w:t>第六部份一般公共预算基本支出</w:t>
      </w:r>
      <w:r>
        <w:rPr>
          <w:rStyle w:val="9"/>
          <w:rFonts w:hint="eastAsia" w:ascii="仿宋" w:hAnsi="仿宋" w:eastAsia="仿宋" w:cs="黑体"/>
          <w:bCs/>
          <w:sz w:val="28"/>
          <w:szCs w:val="28"/>
        </w:rPr>
        <w:t>情况</w:t>
      </w:r>
      <w:r>
        <w:rPr>
          <w:rStyle w:val="9"/>
          <w:rFonts w:hint="eastAsia" w:ascii="仿宋" w:hAnsi="仿宋" w:eastAsia="仿宋" w:cs="黑体"/>
          <w:bCs/>
          <w:sz w:val="28"/>
          <w:szCs w:val="28"/>
          <w:lang w:val="en-US" w:eastAsia="zh-CN"/>
        </w:rPr>
        <w:t>说明</w:t>
      </w:r>
      <w:r>
        <w:rPr>
          <w:rFonts w:ascii="仿宋" w:hAnsi="仿宋" w:eastAsia="仿宋"/>
          <w:sz w:val="28"/>
          <w:szCs w:val="28"/>
        </w:rPr>
        <w:tab/>
      </w:r>
      <w:r>
        <w:rPr>
          <w:rFonts w:ascii="仿宋" w:hAnsi="仿宋" w:eastAsia="仿宋"/>
          <w:sz w:val="28"/>
          <w:szCs w:val="28"/>
        </w:rPr>
        <w:fldChar w:fldCharType="end"/>
      </w:r>
      <w:r>
        <w:rPr>
          <w:rFonts w:hint="eastAsia" w:ascii="仿宋" w:hAnsi="仿宋" w:eastAsia="仿宋"/>
          <w:sz w:val="28"/>
          <w:szCs w:val="28"/>
          <w:lang w:val="en-US" w:eastAsia="zh-CN"/>
        </w:rPr>
        <w:t>10</w:t>
      </w:r>
    </w:p>
    <w:p>
      <w:pPr>
        <w:pStyle w:val="5"/>
        <w:ind w:left="0" w:leftChars="0" w:firstLine="0" w:firstLineChars="0"/>
        <w:rPr>
          <w:rFonts w:hint="default" w:ascii="仿宋" w:hAnsi="仿宋" w:eastAsia="仿宋" w:cs="黑体"/>
          <w:sz w:val="28"/>
          <w:szCs w:val="28"/>
          <w:lang w:val="en-US" w:eastAsia="zh-CN"/>
        </w:rPr>
      </w:pPr>
      <w:r>
        <w:fldChar w:fldCharType="begin"/>
      </w:r>
      <w:r>
        <w:instrText xml:space="preserve"> HYPERLINK \l "_Toc15396606" </w:instrText>
      </w:r>
      <w:r>
        <w:fldChar w:fldCharType="separate"/>
      </w:r>
      <w:r>
        <w:rPr>
          <w:rStyle w:val="9"/>
          <w:rFonts w:hint="eastAsia" w:ascii="仿宋" w:hAnsi="仿宋" w:eastAsia="仿宋"/>
          <w:sz w:val="28"/>
          <w:szCs w:val="28"/>
          <w:lang w:val="en-US" w:eastAsia="zh-CN"/>
        </w:rPr>
        <w:t>第七部分“三公”经费财政拨款预算安排</w:t>
      </w:r>
      <w:r>
        <w:rPr>
          <w:rStyle w:val="9"/>
          <w:rFonts w:hint="eastAsia" w:ascii="仿宋" w:hAnsi="仿宋" w:eastAsia="仿宋" w:cs="黑体"/>
          <w:bCs/>
          <w:sz w:val="28"/>
          <w:szCs w:val="28"/>
        </w:rPr>
        <w:t>情况说明</w:t>
      </w:r>
      <w:r>
        <w:rPr>
          <w:rFonts w:ascii="仿宋" w:hAnsi="仿宋" w:eastAsia="仿宋"/>
          <w:sz w:val="28"/>
          <w:szCs w:val="28"/>
        </w:rPr>
        <w:tab/>
      </w:r>
      <w:r>
        <w:rPr>
          <w:rFonts w:ascii="仿宋" w:hAnsi="仿宋" w:eastAsia="仿宋"/>
          <w:sz w:val="28"/>
          <w:szCs w:val="28"/>
        </w:rPr>
        <w:fldChar w:fldCharType="end"/>
      </w:r>
      <w:r>
        <w:rPr>
          <w:rFonts w:hint="eastAsia" w:ascii="仿宋" w:hAnsi="仿宋" w:eastAsia="仿宋"/>
          <w:sz w:val="28"/>
          <w:szCs w:val="28"/>
          <w:lang w:val="en-US" w:eastAsia="zh-CN"/>
        </w:rPr>
        <w:t>10</w:t>
      </w:r>
    </w:p>
    <w:p>
      <w:pPr>
        <w:pStyle w:val="5"/>
        <w:ind w:left="0" w:leftChars="0" w:firstLine="0" w:firstLineChars="0"/>
        <w:rPr>
          <w:rFonts w:hint="eastAsia" w:ascii="仿宋" w:hAnsi="仿宋" w:eastAsia="仿宋" w:cs="黑体"/>
          <w:sz w:val="28"/>
          <w:szCs w:val="28"/>
          <w:lang w:val="en-US" w:eastAsia="zh-CN"/>
        </w:rPr>
      </w:pPr>
      <w:r>
        <w:fldChar w:fldCharType="begin"/>
      </w:r>
      <w:r>
        <w:instrText xml:space="preserve"> HYPERLINK \l "_Toc15396607" </w:instrText>
      </w:r>
      <w:r>
        <w:fldChar w:fldCharType="separate"/>
      </w:r>
      <w:r>
        <w:rPr>
          <w:rStyle w:val="9"/>
          <w:rFonts w:hint="eastAsia" w:ascii="仿宋" w:hAnsi="仿宋" w:eastAsia="仿宋"/>
          <w:sz w:val="28"/>
          <w:szCs w:val="28"/>
          <w:lang w:val="en-US" w:eastAsia="zh-CN"/>
        </w:rPr>
        <w:t>第八部份政府性基金预算安排</w:t>
      </w:r>
      <w:r>
        <w:rPr>
          <w:rStyle w:val="9"/>
          <w:rFonts w:hint="eastAsia" w:ascii="仿宋" w:hAnsi="仿宋" w:eastAsia="仿宋" w:cs="黑体"/>
          <w:bCs/>
          <w:sz w:val="28"/>
          <w:szCs w:val="28"/>
        </w:rPr>
        <w:t>情况说明</w:t>
      </w:r>
      <w:r>
        <w:rPr>
          <w:rFonts w:ascii="仿宋" w:hAnsi="仿宋" w:eastAsia="仿宋"/>
          <w:sz w:val="28"/>
          <w:szCs w:val="28"/>
        </w:rPr>
        <w:tab/>
      </w:r>
      <w:r>
        <w:rPr>
          <w:rFonts w:hint="eastAsia" w:ascii="仿宋" w:hAnsi="仿宋" w:eastAsia="仿宋"/>
          <w:sz w:val="28"/>
          <w:szCs w:val="28"/>
          <w:lang w:val="en-US" w:eastAsia="zh-CN"/>
        </w:rPr>
        <w:t>1</w:t>
      </w:r>
      <w:r>
        <w:rPr>
          <w:rFonts w:ascii="仿宋" w:hAnsi="仿宋" w:eastAsia="仿宋"/>
          <w:sz w:val="28"/>
          <w:szCs w:val="28"/>
        </w:rPr>
        <w:fldChar w:fldCharType="end"/>
      </w:r>
      <w:r>
        <w:rPr>
          <w:rFonts w:hint="eastAsia" w:ascii="仿宋" w:hAnsi="仿宋" w:eastAsia="仿宋"/>
          <w:sz w:val="28"/>
          <w:szCs w:val="28"/>
          <w:lang w:val="en-US" w:eastAsia="zh-CN"/>
        </w:rPr>
        <w:t>0</w:t>
      </w:r>
    </w:p>
    <w:p>
      <w:pPr>
        <w:pStyle w:val="5"/>
        <w:ind w:left="0" w:leftChars="0" w:firstLine="0" w:firstLineChars="0"/>
        <w:rPr>
          <w:rFonts w:hint="default" w:ascii="仿宋" w:hAnsi="仿宋" w:eastAsia="仿宋" w:cs="黑体"/>
          <w:sz w:val="28"/>
          <w:szCs w:val="28"/>
          <w:lang w:val="en-US" w:eastAsia="zh-CN"/>
        </w:rPr>
      </w:pPr>
      <w:r>
        <w:fldChar w:fldCharType="begin"/>
      </w:r>
      <w:r>
        <w:instrText xml:space="preserve"> HYPERLINK \l "_Toc15396608" </w:instrText>
      </w:r>
      <w:r>
        <w:fldChar w:fldCharType="separate"/>
      </w:r>
      <w:r>
        <w:rPr>
          <w:rStyle w:val="9"/>
          <w:rFonts w:hint="eastAsia" w:ascii="仿宋" w:hAnsi="仿宋" w:eastAsia="仿宋"/>
          <w:sz w:val="28"/>
          <w:szCs w:val="28"/>
          <w:lang w:val="en-US" w:eastAsia="zh-CN"/>
        </w:rPr>
        <w:t>第九部份其他重要事项的</w:t>
      </w:r>
      <w:r>
        <w:rPr>
          <w:rStyle w:val="9"/>
          <w:rFonts w:hint="eastAsia" w:ascii="仿宋" w:hAnsi="仿宋" w:eastAsia="仿宋" w:cs="黑体"/>
          <w:bCs/>
          <w:sz w:val="28"/>
          <w:szCs w:val="28"/>
        </w:rPr>
        <w:t>情况说明</w:t>
      </w:r>
      <w:r>
        <w:rPr>
          <w:rFonts w:ascii="仿宋" w:hAnsi="仿宋" w:eastAsia="仿宋"/>
          <w:sz w:val="28"/>
          <w:szCs w:val="28"/>
        </w:rPr>
        <w:tab/>
      </w:r>
      <w:r>
        <w:rPr>
          <w:rFonts w:hint="eastAsia" w:ascii="仿宋" w:hAnsi="仿宋" w:eastAsia="仿宋"/>
          <w:sz w:val="28"/>
          <w:szCs w:val="28"/>
        </w:rPr>
        <w:t>1</w:t>
      </w:r>
      <w:r>
        <w:rPr>
          <w:rFonts w:ascii="仿宋" w:hAnsi="仿宋" w:eastAsia="仿宋"/>
          <w:sz w:val="28"/>
          <w:szCs w:val="28"/>
        </w:rPr>
        <w:fldChar w:fldCharType="end"/>
      </w:r>
      <w:r>
        <w:rPr>
          <w:rFonts w:hint="eastAsia" w:ascii="仿宋" w:hAnsi="仿宋" w:eastAsia="仿宋"/>
          <w:sz w:val="28"/>
          <w:szCs w:val="28"/>
          <w:lang w:val="en-US" w:eastAsia="zh-CN"/>
        </w:rPr>
        <w:t>1</w:t>
      </w:r>
    </w:p>
    <w:p>
      <w:pPr>
        <w:pStyle w:val="4"/>
        <w:rPr>
          <w:rFonts w:cs="黑体"/>
        </w:rPr>
      </w:pPr>
      <w:r>
        <w:fldChar w:fldCharType="begin"/>
      </w:r>
      <w:r>
        <w:instrText xml:space="preserve"> HYPERLINK \l "_Toc15396613" </w:instrText>
      </w:r>
      <w:r>
        <w:fldChar w:fldCharType="separate"/>
      </w:r>
      <w:r>
        <w:rPr>
          <w:rStyle w:val="9"/>
          <w:rFonts w:hint="eastAsia" w:ascii="仿宋" w:hAnsi="仿宋" w:eastAsia="仿宋"/>
          <w:sz w:val="28"/>
          <w:szCs w:val="28"/>
          <w:lang w:val="en-US" w:eastAsia="zh-CN"/>
        </w:rPr>
        <w:t>第十部份</w:t>
      </w:r>
      <w:r>
        <w:rPr>
          <w:rStyle w:val="9"/>
          <w:rFonts w:hint="eastAsia"/>
        </w:rPr>
        <w:t xml:space="preserve"> 名</w:t>
      </w:r>
      <w:r>
        <w:rPr>
          <w:rStyle w:val="9"/>
          <w:rFonts w:hint="eastAsia"/>
          <w:bCs/>
          <w:kern w:val="44"/>
        </w:rPr>
        <w:t>词解释</w:t>
      </w:r>
      <w:r>
        <w:tab/>
      </w:r>
      <w:r>
        <w:fldChar w:fldCharType="begin"/>
      </w:r>
      <w:r>
        <w:instrText xml:space="preserve"> PAGEREF _Toc15396613 \h </w:instrText>
      </w:r>
      <w:r>
        <w:fldChar w:fldCharType="separate"/>
      </w:r>
      <w:r>
        <w:t>1</w:t>
      </w:r>
      <w:r>
        <w:rPr>
          <w:rFonts w:hint="eastAsia"/>
          <w:lang w:val="en-US" w:eastAsia="zh-CN"/>
        </w:rPr>
        <w:t>2</w:t>
      </w:r>
      <w:r>
        <w:fldChar w:fldCharType="end"/>
      </w:r>
      <w:r>
        <w:fldChar w:fldCharType="end"/>
      </w:r>
    </w:p>
    <w:p>
      <w:pPr>
        <w:pStyle w:val="4"/>
        <w:jc w:val="left"/>
        <w:rPr>
          <w:rFonts w:hint="default" w:eastAsia="仿宋" w:cs="黑体"/>
          <w:lang w:val="en-US" w:eastAsia="zh-CN"/>
        </w:rPr>
      </w:pPr>
    </w:p>
    <w:p>
      <w:pPr>
        <w:pStyle w:val="5"/>
        <w:rPr>
          <w:rFonts w:hint="eastAsia" w:ascii="仿宋" w:hAnsi="仿宋" w:eastAsia="仿宋"/>
          <w:sz w:val="28"/>
          <w:szCs w:val="28"/>
        </w:rPr>
      </w:pPr>
    </w:p>
    <w:p>
      <w:pPr>
        <w:pStyle w:val="5"/>
        <w:rPr>
          <w:rFonts w:hint="default" w:ascii="仿宋" w:hAnsi="仿宋" w:eastAsia="仿宋" w:cs="黑体"/>
          <w:sz w:val="28"/>
          <w:szCs w:val="28"/>
          <w:lang w:val="en-US" w:eastAsia="zh-CN"/>
        </w:rPr>
      </w:pPr>
    </w:p>
    <w:p>
      <w:pPr>
        <w:pStyle w:val="5"/>
        <w:ind w:left="0" w:leftChars="0" w:firstLine="0" w:firstLineChars="0"/>
        <w:rPr>
          <w:rFonts w:hint="default" w:ascii="仿宋" w:hAnsi="仿宋" w:eastAsia="仿宋"/>
          <w:sz w:val="28"/>
          <w:szCs w:val="28"/>
          <w:lang w:val="en-US" w:eastAsia="zh-CN"/>
        </w:rPr>
      </w:pPr>
      <w:r>
        <w:rPr>
          <w:rFonts w:ascii="仿宋" w:hAnsi="仿宋" w:eastAsia="仿宋"/>
          <w:color w:val="000000"/>
          <w:sz w:val="24"/>
        </w:rPr>
        <w:fldChar w:fldCharType="end"/>
      </w:r>
    </w:p>
    <w:p>
      <w:pPr>
        <w:spacing w:line="600" w:lineRule="exact"/>
        <w:ind w:firstLine="1760" w:firstLineChars="400"/>
        <w:jc w:val="both"/>
        <w:rPr>
          <w:rFonts w:hint="eastAsia" w:ascii="方正小标宋_GBK" w:eastAsia="方正小标宋_GBK"/>
          <w:sz w:val="44"/>
          <w:szCs w:val="44"/>
        </w:rPr>
      </w:pPr>
    </w:p>
    <w:p>
      <w:pPr>
        <w:spacing w:line="600" w:lineRule="exact"/>
        <w:jc w:val="both"/>
        <w:rPr>
          <w:rFonts w:hint="eastAsia" w:ascii="方正小标宋_GBK" w:eastAsia="方正小标宋_GBK"/>
          <w:sz w:val="44"/>
          <w:szCs w:val="44"/>
        </w:rPr>
      </w:pPr>
    </w:p>
    <w:p>
      <w:pPr>
        <w:spacing w:line="600" w:lineRule="exact"/>
        <w:ind w:firstLine="640" w:firstLineChars="200"/>
        <w:rPr>
          <w:rFonts w:ascii="黑体" w:hAnsi="黑体" w:eastAsia="黑体"/>
          <w:sz w:val="32"/>
          <w:szCs w:val="32"/>
        </w:rPr>
      </w:pPr>
      <w:r>
        <w:rPr>
          <w:rFonts w:hint="eastAsia" w:ascii="黑体" w:hAnsi="黑体" w:eastAsia="黑体"/>
          <w:sz w:val="32"/>
          <w:szCs w:val="32"/>
        </w:rPr>
        <w:t>一、基本职能及主要工作</w:t>
      </w:r>
    </w:p>
    <w:p>
      <w:pPr>
        <w:spacing w:line="600" w:lineRule="exact"/>
        <w:ind w:firstLine="643" w:firstLineChars="200"/>
        <w:rPr>
          <w:rFonts w:ascii="楷体" w:hAnsi="楷体" w:eastAsia="楷体"/>
          <w:b/>
          <w:sz w:val="32"/>
          <w:szCs w:val="32"/>
        </w:rPr>
      </w:pPr>
      <w:r>
        <w:rPr>
          <w:rFonts w:hint="eastAsia" w:ascii="楷体" w:hAnsi="楷体" w:eastAsia="楷体"/>
          <w:b/>
          <w:sz w:val="32"/>
          <w:szCs w:val="32"/>
        </w:rPr>
        <w:t>（一）</w:t>
      </w:r>
      <w:r>
        <w:rPr>
          <w:rFonts w:hint="eastAsia" w:ascii="楷体" w:hAnsi="楷体" w:eastAsia="楷体"/>
          <w:b/>
          <w:sz w:val="32"/>
          <w:szCs w:val="32"/>
          <w:lang w:eastAsia="zh-CN"/>
        </w:rPr>
        <w:t>礼安初中</w:t>
      </w:r>
      <w:r>
        <w:rPr>
          <w:rFonts w:hint="eastAsia" w:ascii="楷体" w:hAnsi="楷体" w:eastAsia="楷体"/>
          <w:b/>
          <w:sz w:val="32"/>
          <w:szCs w:val="32"/>
        </w:rPr>
        <w:t>职能简介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hAnsi="Times New Roman" w:eastAsia="仿宋_GB2312" w:cs="Times New Roman"/>
          <w:kern w:val="2"/>
          <w:sz w:val="32"/>
          <w:szCs w:val="32"/>
          <w:lang w:val="en-US" w:eastAsia="zh-CN" w:bidi="ar"/>
        </w:rPr>
        <w:t>拟订财税发展战略、规划、政策和改革方案并组织实施；分析预测宏观经济形势，提出运用财税政策实施宏观调控和综合平衡社会财力的建议</w:t>
      </w:r>
      <w:r>
        <w:rPr>
          <w:rFonts w:hint="eastAsia" w:ascii="仿宋_GB2312" w:eastAsia="仿宋_GB2312"/>
          <w:sz w:val="32"/>
          <w:szCs w:val="32"/>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w:t>
      </w:r>
      <w:r>
        <w:rPr>
          <w:rFonts w:ascii="仿宋_GB2312" w:hAnsi="Times New Roman" w:eastAsia="仿宋_GB2312" w:cs="Times New Roman"/>
          <w:kern w:val="2"/>
          <w:sz w:val="32"/>
          <w:szCs w:val="32"/>
          <w:lang w:val="en-US" w:eastAsia="zh-CN" w:bidi="ar"/>
        </w:rPr>
        <w:t>贯彻执行上级财政、税收、财务、会计管理的各项法律法规；制定</w:t>
      </w:r>
      <w:r>
        <w:rPr>
          <w:rFonts w:hint="eastAsia" w:ascii="仿宋_GB2312" w:hAnsi="Times New Roman" w:eastAsia="仿宋_GB2312" w:cs="Times New Roman"/>
          <w:kern w:val="2"/>
          <w:sz w:val="32"/>
          <w:szCs w:val="32"/>
          <w:lang w:val="en-US" w:eastAsia="zh-CN" w:bidi="ar"/>
        </w:rPr>
        <w:t>本校</w:t>
      </w:r>
      <w:r>
        <w:rPr>
          <w:rFonts w:ascii="仿宋_GB2312" w:hAnsi="Times New Roman" w:eastAsia="仿宋_GB2312" w:cs="Times New Roman"/>
          <w:kern w:val="2"/>
          <w:sz w:val="32"/>
          <w:szCs w:val="32"/>
          <w:lang w:val="en-US" w:eastAsia="zh-CN" w:bidi="ar"/>
        </w:rPr>
        <w:t>有关规章制度并监督实施</w:t>
      </w:r>
      <w:r>
        <w:rPr>
          <w:rFonts w:hint="eastAsia" w:ascii="仿宋_GB2312" w:eastAsia="仿宋_GB2312"/>
          <w:sz w:val="32"/>
          <w:szCs w:val="32"/>
        </w:rPr>
        <w:t>。</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eastAsia="仿宋_GB2312"/>
          <w:sz w:val="32"/>
          <w:szCs w:val="32"/>
        </w:rPr>
        <w:t>3</w:t>
      </w:r>
      <w:r>
        <w:rPr>
          <w:rFonts w:hint="eastAsia" w:ascii="仿宋_GB2312" w:hAnsi="仿宋_GB2312" w:eastAsia="仿宋_GB2312" w:cs="仿宋_GB2312"/>
          <w:sz w:val="33"/>
          <w:szCs w:val="33"/>
        </w:rPr>
        <w:t>本校为初中教育学校，基本职能是实施</w:t>
      </w:r>
      <w:r>
        <w:rPr>
          <w:rFonts w:hint="eastAsia" w:ascii="仿宋_GB2312" w:hAnsi="仿宋_GB2312" w:eastAsia="仿宋_GB2312" w:cs="仿宋_GB2312"/>
          <w:sz w:val="33"/>
          <w:szCs w:val="33"/>
          <w:lang w:eastAsia="zh-CN"/>
        </w:rPr>
        <w:t>义务教育，促进基础教育发展，</w:t>
      </w:r>
      <w:r>
        <w:rPr>
          <w:rFonts w:hint="eastAsia" w:ascii="仿宋_GB2312" w:hAnsi="仿宋_GB2312" w:eastAsia="仿宋_GB2312" w:cs="仿宋_GB2312"/>
          <w:sz w:val="33"/>
          <w:szCs w:val="33"/>
        </w:rPr>
        <w:t>初中</w:t>
      </w:r>
      <w:r>
        <w:rPr>
          <w:rFonts w:hint="eastAsia" w:ascii="仿宋_GB2312" w:hAnsi="仿宋_GB2312" w:eastAsia="仿宋_GB2312" w:cs="仿宋_GB2312"/>
          <w:sz w:val="33"/>
          <w:szCs w:val="33"/>
          <w:lang w:eastAsia="zh-CN"/>
        </w:rPr>
        <w:t>学历</w:t>
      </w:r>
      <w:r>
        <w:rPr>
          <w:rFonts w:hint="eastAsia" w:ascii="仿宋_GB2312" w:hAnsi="仿宋_GB2312" w:eastAsia="仿宋_GB2312" w:cs="仿宋_GB2312"/>
          <w:sz w:val="33"/>
          <w:szCs w:val="33"/>
        </w:rPr>
        <w:t>教育</w:t>
      </w:r>
      <w:r>
        <w:rPr>
          <w:rFonts w:hint="eastAsia" w:ascii="仿宋_GB2312" w:hAnsi="仿宋_GB2312" w:eastAsia="仿宋_GB2312" w:cs="仿宋_GB2312"/>
          <w:sz w:val="33"/>
          <w:szCs w:val="33"/>
          <w:lang w:eastAsia="zh-CN"/>
        </w:rPr>
        <w:t>。</w:t>
      </w:r>
    </w:p>
    <w:p>
      <w:pPr>
        <w:ind w:firstLine="321" w:firstLineChars="100"/>
        <w:rPr>
          <w:rFonts w:hint="eastAsia" w:ascii="方正仿宋_GBK" w:hAnsi="方正仿宋_GBK" w:eastAsia="方正仿宋_GBK" w:cs="方正仿宋_GBK"/>
          <w:sz w:val="33"/>
          <w:szCs w:val="33"/>
        </w:rPr>
      </w:pPr>
      <w:r>
        <w:rPr>
          <w:rFonts w:hint="eastAsia" w:ascii="楷体" w:hAnsi="楷体" w:eastAsia="楷体"/>
          <w:b/>
          <w:sz w:val="32"/>
          <w:szCs w:val="32"/>
        </w:rPr>
        <w:t>（二）</w:t>
      </w:r>
      <w:r>
        <w:rPr>
          <w:rFonts w:hint="eastAsia" w:ascii="楷体" w:hAnsi="楷体" w:eastAsia="楷体"/>
          <w:b/>
          <w:sz w:val="32"/>
          <w:szCs w:val="32"/>
          <w:lang w:eastAsia="zh-CN"/>
        </w:rPr>
        <w:t>礼安初中</w:t>
      </w:r>
      <w:r>
        <w:rPr>
          <w:rFonts w:hint="eastAsia" w:ascii="楷体" w:hAnsi="楷体" w:eastAsia="楷体"/>
          <w:b/>
          <w:sz w:val="32"/>
          <w:szCs w:val="32"/>
        </w:rPr>
        <w:t>2021年重点工作</w:t>
      </w:r>
    </w:p>
    <w:p>
      <w:pPr>
        <w:ind w:firstLine="330" w:firstLineChars="100"/>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（一）工作目标</w:t>
      </w:r>
    </w:p>
    <w:p>
      <w:pPr>
        <w:numPr>
          <w:ilvl w:val="0"/>
          <w:numId w:val="0"/>
        </w:numPr>
        <w:autoSpaceDE/>
        <w:autoSpaceDN/>
        <w:snapToGrid/>
        <w:spacing w:before="0" w:after="0" w:line="240" w:lineRule="auto"/>
        <w:ind w:leftChars="0" w:firstLine="660" w:firstLineChars="200"/>
        <w:jc w:val="both"/>
        <w:rPr>
          <w:rFonts w:hint="eastAsia" w:ascii="仿宋_GB2312" w:hAnsi="仿宋_GB2312" w:eastAsia="仿宋_GB2312" w:cs="仿宋_GB2312"/>
          <w:color w:val="333333"/>
          <w:w w:val="100"/>
          <w:sz w:val="33"/>
          <w:shd w:val="clear" w:color="000000" w:fill="FFFFFF"/>
          <w:lang w:eastAsia="zh-CN"/>
        </w:rPr>
      </w:pPr>
      <w:r>
        <w:rPr>
          <w:rFonts w:hint="eastAsia" w:ascii="仿宋_GB2312" w:hAnsi="仿宋_GB2312" w:eastAsia="仿宋_GB2312" w:cs="仿宋_GB2312"/>
          <w:sz w:val="33"/>
          <w:szCs w:val="33"/>
          <w:lang w:val="en-US" w:eastAsia="zh-CN"/>
        </w:rPr>
        <w:t>1、</w:t>
      </w:r>
      <w:r>
        <w:rPr>
          <w:rFonts w:hint="eastAsia" w:ascii="仿宋_GB2312" w:hAnsi="仿宋_GB2312" w:eastAsia="仿宋_GB2312" w:cs="仿宋_GB2312"/>
          <w:sz w:val="33"/>
          <w:szCs w:val="33"/>
          <w:lang w:eastAsia="zh-CN"/>
        </w:rPr>
        <w:t>加强师德师风建设，广泛开展做有理想信念、有道德情操、有扎实学识、有仁爱之心的“四有”好老师主题教育活动，大力宣传优秀教师典型，营造浓厚的尊师重教氛围，加强教师职业理想教育、职业道德教育和社会主义核心价值观教育，引导教师增强教书育人的</w:t>
      </w:r>
      <w:r>
        <w:rPr>
          <w:rFonts w:hint="eastAsia" w:ascii="仿宋_GB2312" w:hAnsi="仿宋_GB2312" w:eastAsia="仿宋_GB2312" w:cs="仿宋_GB2312"/>
          <w:color w:val="333333"/>
          <w:w w:val="100"/>
          <w:sz w:val="33"/>
          <w:shd w:val="clear" w:color="000000" w:fill="FFFFFF"/>
          <w:lang w:eastAsia="zh-CN"/>
        </w:rPr>
        <w:t>责任感和使命感。 　　</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2、开展平安校园建设，加强校园安全工作，大力推进依法治校，继续完善以学校章程为基础的学校各项规章制度，不断提升学校规范化管理水平和法治化水平，优化、强化校园管理，确保校园和谐、文明、安全，无重大事故发生　　</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3、坚持以立德树人为根本，深化社会主义核心价值观和中国梦教育，加强理想信念、中华优秀传统文化、革命传统、国防建设教育和学生养成教育，引导学生树立正确的人生观、世界观和价值观，做一个心灵纯洁、人格健全、品德高尚的人，做一个有文化修养、有人文关怀、有责任担当的人。 　</w:t>
      </w:r>
    </w:p>
    <w:p>
      <w:pPr>
        <w:numPr>
          <w:ilvl w:val="0"/>
          <w:numId w:val="0"/>
        </w:numPr>
        <w:autoSpaceDE/>
        <w:autoSpaceDN/>
        <w:snapToGrid/>
        <w:spacing w:before="0" w:after="0" w:line="240" w:lineRule="auto"/>
        <w:ind w:left="0" w:leftChars="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　</w:t>
      </w:r>
      <w:r>
        <w:rPr>
          <w:rFonts w:hint="eastAsia" w:ascii="仿宋_GB2312" w:hAnsi="仿宋_GB2312" w:eastAsia="仿宋_GB2312" w:cs="仿宋_GB2312"/>
          <w:sz w:val="33"/>
          <w:szCs w:val="33"/>
          <w:lang w:val="en-US" w:eastAsia="zh-CN"/>
        </w:rPr>
        <w:t xml:space="preserve">  </w:t>
      </w:r>
      <w:r>
        <w:rPr>
          <w:rFonts w:hint="eastAsia" w:ascii="仿宋_GB2312" w:hAnsi="仿宋_GB2312" w:eastAsia="仿宋_GB2312" w:cs="仿宋_GB2312"/>
          <w:sz w:val="33"/>
          <w:szCs w:val="33"/>
          <w:lang w:eastAsia="zh-CN"/>
        </w:rPr>
        <w:t>4、积极推进家校合作，高度重视家庭教育，充分发挥家庭教育的基础性作用，营造良好的家庭教育环境。全面推进“互联网+家庭教育”，充分发挥家长委员会对学校工作的促进作用。积极构建学校、家庭、社会三位一体的德育教育体系，形成全社会齐抓共管共同努力的良好氛围，不断完善学校德育教育体系。 　　</w:t>
      </w:r>
    </w:p>
    <w:p>
      <w:pPr>
        <w:numPr>
          <w:ilvl w:val="0"/>
          <w:numId w:val="0"/>
        </w:numPr>
        <w:autoSpaceDE/>
        <w:autoSpaceDN/>
        <w:snapToGrid/>
        <w:spacing w:before="0" w:after="0" w:line="240" w:lineRule="auto"/>
        <w:ind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5、优化教学管理，培养学生核心素养，实现教育质量新突破。扎实推进“六认真”工作，加强教研组集体备课的落实与监管，打造“轻负高效”，具有礼安特色的高效课堂。</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 xml:space="preserve">6、扎实推进教科研工作，重视课题研究，实现科研与教研的有效整合，用课题统筹学校发展，将课题研究与特色建设有机融合，促进学校内涵式发展。建立有力的考核导向和激励机制，充分调动全体教师参与教育科研的积极性，营造一种人人参与课题研究的良好氛围。   </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7、开展书香校园建设，深入推进校园文化建设。积极营造书香校园氛围，整合阅读资源，开展丰富多彩的读书活动，让阅读成为广大师生日常的生活方式，使校园更富人文底蕴，充满智慧和生机。精心布置校园文化环境，广泛开展校园文化活动和艺术社团活动，不断提升学校文化品位，努力构建学校先进文化理念，引领学校健康持续发展。 　　</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8、加强教师队伍建设，按照“教育引导、加强管理、悉心培养、以老带新”的原则，通过结对教研、师徒结对等模式，明确培养目标，完善培养措施，大力培养骨干教师。深入开展形式多样的校本培训，利用校际交流和结对活动，努力提高培训实效，增强教师的科研意识和科研成果的推广与应用能力，有效促进教师专业发展。</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9、开展健康校园建设，切实加强学校美育和体卫艺教育，开齐上足体艺类课程，促进学生全面发展。</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（二）工作措施： 　　</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val="en-US" w:eastAsia="zh-CN"/>
        </w:rPr>
        <w:t>1、</w:t>
      </w:r>
      <w:r>
        <w:rPr>
          <w:rFonts w:hint="eastAsia" w:ascii="仿宋_GB2312" w:hAnsi="仿宋_GB2312" w:eastAsia="仿宋_GB2312" w:cs="仿宋_GB2312"/>
          <w:sz w:val="33"/>
          <w:szCs w:val="33"/>
          <w:lang w:eastAsia="zh-CN"/>
        </w:rPr>
        <w:t>抓实德育常规管理，提高德育效能。 　　</w:t>
      </w:r>
    </w:p>
    <w:p>
      <w:pPr>
        <w:numPr>
          <w:ilvl w:val="0"/>
          <w:numId w:val="0"/>
        </w:numPr>
        <w:autoSpaceDE/>
        <w:autoSpaceDN/>
        <w:snapToGrid/>
        <w:spacing w:before="0" w:after="0" w:line="240" w:lineRule="auto"/>
        <w:ind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val="en-US" w:eastAsia="zh-CN"/>
        </w:rPr>
        <w:t>(1)</w:t>
      </w:r>
      <w:r>
        <w:rPr>
          <w:rFonts w:hint="eastAsia" w:ascii="仿宋_GB2312" w:hAnsi="仿宋_GB2312" w:eastAsia="仿宋_GB2312" w:cs="仿宋_GB2312"/>
          <w:sz w:val="33"/>
          <w:szCs w:val="33"/>
          <w:lang w:eastAsia="zh-CN"/>
        </w:rPr>
        <w:t>丰富德育活动，拓展德育阵地。德育处结合学校实际，把学生养成教育与公民意识教育、生态文明教育、法制教育、革命传统教育、感恩教育、理想教育等活动结合起来，与心理健康教育、生命教育等结合起来，通过开展丰富多彩的德育活动，创设优良的育人环境，让学生在潜移默化中接受德育熏陶，培养学生爱国主义情怀、集体主义观念、社会主义信念，增强学生服务国家和人民的社会责任感。充分利用有效德育阵地，加强学生常规训练，引导学生学会做人、做事，培养学生良好的生活学习习惯。</w:t>
      </w:r>
    </w:p>
    <w:p>
      <w:pPr>
        <w:numPr>
          <w:ilvl w:val="0"/>
          <w:numId w:val="0"/>
        </w:numPr>
        <w:autoSpaceDE/>
        <w:autoSpaceDN/>
        <w:snapToGrid/>
        <w:spacing w:before="0" w:after="0" w:line="240" w:lineRule="auto"/>
        <w:ind w:left="0" w:leftChars="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　</w:t>
      </w:r>
      <w:r>
        <w:rPr>
          <w:rFonts w:hint="eastAsia" w:ascii="仿宋_GB2312" w:hAnsi="仿宋_GB2312" w:eastAsia="仿宋_GB2312" w:cs="仿宋_GB2312"/>
          <w:sz w:val="33"/>
          <w:szCs w:val="33"/>
          <w:lang w:val="en-US" w:eastAsia="zh-CN"/>
        </w:rPr>
        <w:t xml:space="preserve">  (2)</w:t>
      </w:r>
      <w:r>
        <w:rPr>
          <w:rFonts w:hint="eastAsia" w:ascii="仿宋_GB2312" w:hAnsi="仿宋_GB2312" w:eastAsia="仿宋_GB2312" w:cs="仿宋_GB2312"/>
          <w:sz w:val="33"/>
          <w:szCs w:val="33"/>
          <w:lang w:eastAsia="zh-CN"/>
        </w:rPr>
        <w:t>关注后进学生，改进德育方法。充分利用教职工大会、国旗下讲话等载体，凝聚共识，树立“全员育人”的教育氛围。</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val="en-US" w:eastAsia="zh-CN"/>
        </w:rPr>
        <w:t>(3)</w:t>
      </w:r>
      <w:r>
        <w:rPr>
          <w:rFonts w:hint="eastAsia" w:ascii="仿宋_GB2312" w:hAnsi="仿宋_GB2312" w:eastAsia="仿宋_GB2312" w:cs="仿宋_GB2312"/>
          <w:sz w:val="33"/>
          <w:szCs w:val="33"/>
          <w:lang w:eastAsia="zh-CN"/>
        </w:rPr>
        <w:t>加强督查反馈，提高德育实效。德育处要采取积极有效的管理措施，努力提高德育工作实效。继续完善各项德育管理规章制度，强化规范管理。</w:t>
      </w:r>
    </w:p>
    <w:p>
      <w:pPr>
        <w:numPr>
          <w:ilvl w:val="0"/>
          <w:numId w:val="0"/>
        </w:numPr>
        <w:autoSpaceDE/>
        <w:autoSpaceDN/>
        <w:snapToGrid/>
        <w:spacing w:before="0" w:after="0" w:line="240" w:lineRule="auto"/>
        <w:ind w:left="0" w:leftChars="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　</w:t>
      </w:r>
      <w:r>
        <w:rPr>
          <w:rFonts w:hint="eastAsia" w:ascii="仿宋_GB2312" w:hAnsi="仿宋_GB2312" w:eastAsia="仿宋_GB2312" w:cs="仿宋_GB2312"/>
          <w:sz w:val="33"/>
          <w:szCs w:val="33"/>
          <w:lang w:val="en-US" w:eastAsia="zh-CN"/>
        </w:rPr>
        <w:t xml:space="preserve">  2、</w:t>
      </w:r>
      <w:r>
        <w:rPr>
          <w:rFonts w:hint="eastAsia" w:ascii="仿宋_GB2312" w:hAnsi="仿宋_GB2312" w:eastAsia="仿宋_GB2312" w:cs="仿宋_GB2312"/>
          <w:sz w:val="33"/>
          <w:szCs w:val="33"/>
          <w:lang w:eastAsia="zh-CN"/>
        </w:rPr>
        <w:t>抓实教学常规管理，提高教学质量。 　　</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w:t>
      </w:r>
      <w:r>
        <w:rPr>
          <w:rFonts w:hint="eastAsia" w:ascii="仿宋_GB2312" w:hAnsi="仿宋_GB2312" w:eastAsia="仿宋_GB2312" w:cs="仿宋_GB2312"/>
          <w:sz w:val="33"/>
          <w:szCs w:val="33"/>
          <w:lang w:val="en-US" w:eastAsia="zh-CN"/>
        </w:rPr>
        <w:t>1</w:t>
      </w:r>
      <w:r>
        <w:rPr>
          <w:rFonts w:hint="eastAsia" w:ascii="仿宋_GB2312" w:hAnsi="仿宋_GB2312" w:eastAsia="仿宋_GB2312" w:cs="仿宋_GB2312"/>
          <w:sz w:val="33"/>
          <w:szCs w:val="33"/>
          <w:lang w:eastAsia="zh-CN"/>
        </w:rPr>
        <w:t>）严格执行素质教育要求。严格执行教育部门规定的课程计划，开齐开好规定课程，上足规定课时;继续采取一系列有效措施严格控制学生作业量，强化“轻负高效”的教学特色，杜绝靠延长教学时间，搞“加班加点”的不良倾向，努力提高课堂教学的即时效率，切实减轻学生过重的课业负担。</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w:t>
      </w:r>
      <w:r>
        <w:rPr>
          <w:rFonts w:hint="eastAsia" w:ascii="仿宋_GB2312" w:hAnsi="仿宋_GB2312" w:eastAsia="仿宋_GB2312" w:cs="仿宋_GB2312"/>
          <w:sz w:val="33"/>
          <w:szCs w:val="33"/>
          <w:lang w:val="en-US" w:eastAsia="zh-CN"/>
        </w:rPr>
        <w:t>2</w:t>
      </w:r>
      <w:r>
        <w:rPr>
          <w:rFonts w:hint="eastAsia" w:ascii="仿宋_GB2312" w:hAnsi="仿宋_GB2312" w:eastAsia="仿宋_GB2312" w:cs="仿宋_GB2312"/>
          <w:sz w:val="33"/>
          <w:szCs w:val="33"/>
          <w:lang w:eastAsia="zh-CN"/>
        </w:rPr>
        <w:t>）细化教学常规管理。一是坚持抓好教学“六认真”工作，细化、优化“六认真”检查的具体要求，通过定期检查、不定期抽查和行政随堂听课抽查相结合的方式引导教师做好教学常规工作，切实提高课堂教学效率。二是坚持抓好备课组活动，推进集体备课的落实与管理，提高备课的实效性与有效性;三是加强教研组活动管理，落实台帐制度，规范教研组长考核制度，提高教研组活动实效。四是坚持公开课听课、评课制度，每位教师按教导处下发的要求保质保量地完成各项任务。 　　</w:t>
      </w:r>
    </w:p>
    <w:p>
      <w:pPr>
        <w:numPr>
          <w:ilvl w:val="0"/>
          <w:numId w:val="0"/>
        </w:numPr>
        <w:autoSpaceDE/>
        <w:autoSpaceDN/>
        <w:snapToGrid/>
        <w:spacing w:before="0" w:after="0" w:line="240" w:lineRule="auto"/>
        <w:ind w:left="0" w:leftChars="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　</w:t>
      </w:r>
      <w:r>
        <w:rPr>
          <w:rFonts w:hint="eastAsia" w:ascii="仿宋_GB2312" w:hAnsi="仿宋_GB2312" w:eastAsia="仿宋_GB2312" w:cs="仿宋_GB2312"/>
          <w:sz w:val="33"/>
          <w:szCs w:val="33"/>
          <w:lang w:val="en-US" w:eastAsia="zh-CN"/>
        </w:rPr>
        <w:t xml:space="preserve">  3</w:t>
      </w:r>
      <w:r>
        <w:rPr>
          <w:rFonts w:hint="eastAsia" w:ascii="仿宋_GB2312" w:hAnsi="仿宋_GB2312" w:eastAsia="仿宋_GB2312" w:cs="仿宋_GB2312"/>
          <w:sz w:val="33"/>
          <w:szCs w:val="33"/>
          <w:lang w:eastAsia="zh-CN"/>
        </w:rPr>
        <w:t>、抓实校园管理，提高管理质量。 　</w:t>
      </w:r>
    </w:p>
    <w:p>
      <w:pPr>
        <w:numPr>
          <w:ilvl w:val="0"/>
          <w:numId w:val="0"/>
        </w:numPr>
        <w:autoSpaceDE/>
        <w:autoSpaceDN/>
        <w:snapToGrid/>
        <w:spacing w:before="0" w:after="0" w:line="240" w:lineRule="auto"/>
        <w:ind w:left="0" w:leftChars="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　</w:t>
      </w:r>
      <w:r>
        <w:rPr>
          <w:rFonts w:hint="eastAsia" w:ascii="仿宋_GB2312" w:hAnsi="仿宋_GB2312" w:eastAsia="仿宋_GB2312" w:cs="仿宋_GB2312"/>
          <w:sz w:val="33"/>
          <w:szCs w:val="33"/>
          <w:lang w:val="en-US" w:eastAsia="zh-CN"/>
        </w:rPr>
        <w:t xml:space="preserve"> （</w:t>
      </w:r>
      <w:r>
        <w:rPr>
          <w:rFonts w:hint="eastAsia" w:ascii="仿宋_GB2312" w:hAnsi="仿宋_GB2312" w:eastAsia="仿宋_GB2312" w:cs="仿宋_GB2312"/>
          <w:sz w:val="33"/>
          <w:szCs w:val="33"/>
          <w:lang w:eastAsia="zh-CN"/>
        </w:rPr>
        <w:t>1）加强师德师风建设。深入开展职业理想教育、职业道德教育和社会主义核心价值观教育，引导教师增强教书育人的责任感和使命感，争做有理想信念、有道德情操、有扎实学识、有仁爱之心的“四有”好老师。</w:t>
      </w:r>
    </w:p>
    <w:p>
      <w:pPr>
        <w:numPr>
          <w:ilvl w:val="0"/>
          <w:numId w:val="0"/>
        </w:numPr>
        <w:autoSpaceDE/>
        <w:autoSpaceDN/>
        <w:snapToGrid/>
        <w:spacing w:before="0" w:after="0" w:line="240" w:lineRule="auto"/>
        <w:ind w:left="0" w:leftChars="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　</w:t>
      </w:r>
      <w:r>
        <w:rPr>
          <w:rFonts w:hint="eastAsia" w:ascii="仿宋_GB2312" w:hAnsi="仿宋_GB2312" w:eastAsia="仿宋_GB2312" w:cs="仿宋_GB2312"/>
          <w:sz w:val="33"/>
          <w:szCs w:val="33"/>
          <w:lang w:val="en-US" w:eastAsia="zh-CN"/>
        </w:rPr>
        <w:t xml:space="preserve">  （</w:t>
      </w:r>
      <w:r>
        <w:rPr>
          <w:rFonts w:hint="eastAsia" w:ascii="仿宋_GB2312" w:hAnsi="仿宋_GB2312" w:eastAsia="仿宋_GB2312" w:cs="仿宋_GB2312"/>
          <w:sz w:val="33"/>
          <w:szCs w:val="33"/>
          <w:lang w:eastAsia="zh-CN"/>
        </w:rPr>
        <w:t>2）加强教师队伍建设。按照“教育引导、加强管理、悉心培养、以老带新”的原则，通过师徒结对模式，明确培养目标，完善培养措施，大力培养骨干教师。深入开展形式多样的校本培训，利用校际交流和结对活动，努力提高培训实效，增强教师的科研意识和科研成果的推广与应用能力，大力促进教师专业发展。</w:t>
      </w:r>
    </w:p>
    <w:p>
      <w:pPr>
        <w:numPr>
          <w:ilvl w:val="0"/>
          <w:numId w:val="0"/>
        </w:numPr>
        <w:autoSpaceDE/>
        <w:autoSpaceDN/>
        <w:snapToGrid/>
        <w:spacing w:before="0" w:after="0" w:line="240" w:lineRule="auto"/>
        <w:ind w:left="0" w:leftChars="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　</w:t>
      </w:r>
      <w:r>
        <w:rPr>
          <w:rFonts w:hint="eastAsia" w:ascii="仿宋_GB2312" w:hAnsi="仿宋_GB2312" w:eastAsia="仿宋_GB2312" w:cs="仿宋_GB2312"/>
          <w:sz w:val="33"/>
          <w:szCs w:val="33"/>
          <w:lang w:val="en-US" w:eastAsia="zh-CN"/>
        </w:rPr>
        <w:t xml:space="preserve">  （</w:t>
      </w:r>
      <w:r>
        <w:rPr>
          <w:rFonts w:hint="eastAsia" w:ascii="仿宋_GB2312" w:hAnsi="仿宋_GB2312" w:eastAsia="仿宋_GB2312" w:cs="仿宋_GB2312"/>
          <w:sz w:val="33"/>
          <w:szCs w:val="33"/>
          <w:lang w:eastAsia="zh-CN"/>
        </w:rPr>
        <w:t>3）加强校园文化建设。一是加强环境文化建设。二是加强制度文化建设。三是加强行为文化建设。</w:t>
      </w:r>
    </w:p>
    <w:p>
      <w:pPr>
        <w:numPr>
          <w:ilvl w:val="0"/>
          <w:numId w:val="0"/>
        </w:numPr>
        <w:autoSpaceDE/>
        <w:autoSpaceDN/>
        <w:snapToGrid/>
        <w:spacing w:before="0" w:after="0" w:line="240" w:lineRule="auto"/>
        <w:ind w:left="0" w:leftChars="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　</w:t>
      </w:r>
      <w:r>
        <w:rPr>
          <w:rFonts w:hint="eastAsia" w:ascii="仿宋_GB2312" w:hAnsi="仿宋_GB2312" w:eastAsia="仿宋_GB2312" w:cs="仿宋_GB2312"/>
          <w:sz w:val="33"/>
          <w:szCs w:val="33"/>
          <w:lang w:val="en-US" w:eastAsia="zh-CN"/>
        </w:rPr>
        <w:t xml:space="preserve">  （4）加</w:t>
      </w:r>
      <w:r>
        <w:rPr>
          <w:rFonts w:hint="eastAsia" w:ascii="仿宋_GB2312" w:hAnsi="仿宋_GB2312" w:eastAsia="仿宋_GB2312" w:cs="仿宋_GB2312"/>
          <w:sz w:val="33"/>
          <w:szCs w:val="33"/>
          <w:lang w:eastAsia="zh-CN"/>
        </w:rPr>
        <w:t>强校园安全工作。强化校园安全责任，按照安全生产“党政同责、一岗双责”的要求，严格落实学校各项安全工作领导责任制、部门责任制和岗位责任制。</w:t>
      </w:r>
    </w:p>
    <w:p>
      <w:pPr>
        <w:numPr>
          <w:ilvl w:val="0"/>
          <w:numId w:val="0"/>
        </w:numPr>
        <w:autoSpaceDE/>
        <w:autoSpaceDN/>
        <w:snapToGrid/>
        <w:spacing w:before="0" w:after="0" w:line="240" w:lineRule="auto"/>
        <w:ind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（5）抓好学校疫情防控。要做好常态防控工作，各部门切实履行好职责，加强对学生早、中、晚体温监测，并做好宣传教育工作。</w:t>
      </w:r>
    </w:p>
    <w:p>
      <w:pPr>
        <w:numPr>
          <w:ilvl w:val="0"/>
          <w:numId w:val="0"/>
        </w:numPr>
        <w:autoSpaceDE/>
        <w:autoSpaceDN/>
        <w:snapToGrid/>
        <w:spacing w:before="0" w:after="0" w:line="240" w:lineRule="auto"/>
        <w:ind w:left="0" w:leftChars="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总之，在新的一年里，我们将埋头苦干、积极进取、团结奉献，同心同德、群策群力，具体落实和推进“五育合一”工作，努力完成全年各项教育工作任务，推动礼安初中的教育事业。　</w:t>
      </w:r>
    </w:p>
    <w:p>
      <w:pPr>
        <w:spacing w:line="600" w:lineRule="exact"/>
        <w:ind w:firstLine="640" w:firstLineChars="200"/>
        <w:rPr>
          <w:rFonts w:ascii="仿宋_GB2312" w:eastAsia="仿宋_GB2312"/>
          <w:sz w:val="32"/>
          <w:szCs w:val="32"/>
        </w:rPr>
      </w:pPr>
      <w:r>
        <w:rPr>
          <w:rFonts w:hint="eastAsia" w:ascii="黑体" w:hAnsi="黑体" w:eastAsia="黑体"/>
          <w:sz w:val="32"/>
          <w:szCs w:val="32"/>
        </w:rPr>
        <w:t>二、部门预算单位构成情况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礼安初中</w:t>
      </w:r>
      <w:r>
        <w:rPr>
          <w:rFonts w:hint="eastAsia" w:ascii="仿宋_GB2312" w:eastAsia="仿宋_GB2312"/>
          <w:sz w:val="32"/>
          <w:szCs w:val="32"/>
        </w:rPr>
        <w:t>下属二级预算单位</w:t>
      </w:r>
      <w:r>
        <w:rPr>
          <w:rFonts w:hint="eastAsia" w:ascii="仿宋_GB2312" w:eastAsia="仿宋_GB2312"/>
          <w:sz w:val="32"/>
          <w:szCs w:val="32"/>
          <w:lang w:val="en-US" w:eastAsia="zh-CN"/>
        </w:rPr>
        <w:t>0</w:t>
      </w:r>
      <w:r>
        <w:rPr>
          <w:rFonts w:hint="eastAsia" w:ascii="仿宋_GB2312" w:eastAsia="仿宋_GB2312"/>
          <w:sz w:val="32"/>
          <w:szCs w:val="32"/>
        </w:rPr>
        <w:t>个，其中行政单位</w:t>
      </w:r>
      <w:r>
        <w:rPr>
          <w:rFonts w:hint="eastAsia" w:ascii="仿宋_GB2312" w:eastAsia="仿宋_GB2312"/>
          <w:sz w:val="32"/>
          <w:szCs w:val="32"/>
          <w:lang w:val="en-US" w:eastAsia="zh-CN"/>
        </w:rPr>
        <w:t>0</w:t>
      </w:r>
      <w:r>
        <w:rPr>
          <w:rFonts w:hint="eastAsia" w:ascii="仿宋_GB2312" w:eastAsia="仿宋_GB2312"/>
          <w:sz w:val="32"/>
          <w:szCs w:val="32"/>
        </w:rPr>
        <w:t>个，参照公务员法管理的事业单位</w:t>
      </w:r>
      <w:r>
        <w:rPr>
          <w:rFonts w:hint="eastAsia" w:ascii="仿宋_GB2312" w:eastAsia="仿宋_GB2312"/>
          <w:sz w:val="32"/>
          <w:szCs w:val="32"/>
          <w:lang w:val="en-US" w:eastAsia="zh-CN"/>
        </w:rPr>
        <w:t>0</w:t>
      </w:r>
      <w:r>
        <w:rPr>
          <w:rFonts w:hint="eastAsia" w:ascii="仿宋_GB2312" w:eastAsia="仿宋_GB2312"/>
          <w:sz w:val="32"/>
          <w:szCs w:val="32"/>
        </w:rPr>
        <w:t>个，其他事业单位</w:t>
      </w:r>
      <w:r>
        <w:rPr>
          <w:rFonts w:hint="eastAsia" w:ascii="仿宋_GB2312" w:eastAsia="仿宋_GB2312"/>
          <w:sz w:val="32"/>
          <w:szCs w:val="32"/>
          <w:lang w:val="en-US" w:eastAsia="zh-CN"/>
        </w:rPr>
        <w:t>0</w:t>
      </w:r>
      <w:r>
        <w:rPr>
          <w:rFonts w:hint="eastAsia" w:ascii="仿宋_GB2312" w:eastAsia="仿宋_GB2312"/>
          <w:sz w:val="32"/>
          <w:szCs w:val="32"/>
        </w:rPr>
        <w:t>个</w:t>
      </w:r>
      <w:r>
        <w:rPr>
          <w:rFonts w:hint="eastAsia" w:ascii="仿宋_GB2312" w:eastAsia="仿宋_GB2312"/>
          <w:sz w:val="32"/>
          <w:szCs w:val="32"/>
          <w:lang w:eastAsia="zh-CN"/>
        </w:rPr>
        <w:t>。</w:t>
      </w:r>
    </w:p>
    <w:p>
      <w:pPr>
        <w:spacing w:line="600" w:lineRule="exact"/>
        <w:ind w:firstLine="660" w:firstLineChars="200"/>
        <w:rPr>
          <w:rFonts w:hint="eastAsia" w:ascii="仿宋_GB2312" w:hAnsi="仿宋_GB2312" w:eastAsia="仿宋_GB2312" w:cs="仿宋_GB2312"/>
          <w:b/>
          <w:color w:val="FF0000"/>
          <w:sz w:val="28"/>
          <w:szCs w:val="32"/>
          <w:lang w:eastAsia="zh-CN"/>
        </w:rPr>
      </w:pPr>
      <w:r>
        <w:rPr>
          <w:rFonts w:hint="eastAsia" w:ascii="仿宋_GB2312" w:hAnsi="仿宋_GB2312" w:eastAsia="仿宋_GB2312" w:cs="仿宋_GB2312"/>
          <w:sz w:val="33"/>
          <w:szCs w:val="33"/>
        </w:rPr>
        <w:t>本校为一级预算单位，有在职教职员工</w:t>
      </w:r>
      <w:r>
        <w:rPr>
          <w:rFonts w:hint="eastAsia" w:ascii="仿宋_GB2312" w:hAnsi="仿宋_GB2312" w:eastAsia="仿宋_GB2312" w:cs="仿宋_GB2312"/>
          <w:sz w:val="33"/>
          <w:szCs w:val="33"/>
          <w:lang w:val="en-US" w:eastAsia="zh-CN"/>
        </w:rPr>
        <w:t>23</w:t>
      </w:r>
      <w:r>
        <w:rPr>
          <w:rFonts w:hint="eastAsia" w:ascii="仿宋_GB2312" w:hAnsi="仿宋_GB2312" w:eastAsia="仿宋_GB2312" w:cs="仿宋_GB2312"/>
          <w:sz w:val="33"/>
          <w:szCs w:val="33"/>
        </w:rPr>
        <w:t>人；退休职工</w:t>
      </w:r>
      <w:r>
        <w:rPr>
          <w:rFonts w:hint="eastAsia" w:ascii="仿宋_GB2312" w:hAnsi="仿宋_GB2312" w:eastAsia="仿宋_GB2312" w:cs="仿宋_GB2312"/>
          <w:sz w:val="33"/>
          <w:szCs w:val="33"/>
          <w:lang w:val="en-US" w:eastAsia="zh-CN"/>
        </w:rPr>
        <w:t>5</w:t>
      </w:r>
      <w:r>
        <w:rPr>
          <w:rFonts w:hint="eastAsia" w:ascii="仿宋_GB2312" w:hAnsi="仿宋_GB2312" w:eastAsia="仿宋_GB2312" w:cs="仿宋_GB2312"/>
          <w:sz w:val="33"/>
          <w:szCs w:val="33"/>
        </w:rPr>
        <w:t>人；现有教学班</w:t>
      </w:r>
      <w:r>
        <w:rPr>
          <w:rFonts w:hint="eastAsia" w:ascii="仿宋_GB2312" w:hAnsi="仿宋_GB2312" w:eastAsia="仿宋_GB2312" w:cs="仿宋_GB2312"/>
          <w:sz w:val="33"/>
          <w:szCs w:val="33"/>
          <w:lang w:val="en-US" w:eastAsia="zh-CN"/>
        </w:rPr>
        <w:t>5</w:t>
      </w:r>
      <w:r>
        <w:rPr>
          <w:rFonts w:hint="eastAsia" w:ascii="仿宋_GB2312" w:hAnsi="仿宋_GB2312" w:eastAsia="仿宋_GB2312" w:cs="仿宋_GB2312"/>
          <w:sz w:val="33"/>
          <w:szCs w:val="33"/>
        </w:rPr>
        <w:t>个，在校学生人数</w:t>
      </w:r>
      <w:r>
        <w:rPr>
          <w:rFonts w:hint="eastAsia" w:ascii="仿宋_GB2312" w:hAnsi="仿宋_GB2312" w:eastAsia="仿宋_GB2312" w:cs="仿宋_GB2312"/>
          <w:sz w:val="33"/>
          <w:szCs w:val="33"/>
          <w:lang w:val="en-US" w:eastAsia="zh-CN"/>
        </w:rPr>
        <w:t>160</w:t>
      </w:r>
      <w:r>
        <w:rPr>
          <w:rFonts w:hint="eastAsia" w:ascii="仿宋_GB2312" w:hAnsi="仿宋_GB2312" w:eastAsia="仿宋_GB2312" w:cs="仿宋_GB2312"/>
          <w:sz w:val="33"/>
          <w:szCs w:val="33"/>
        </w:rPr>
        <w:t>人</w:t>
      </w:r>
      <w:r>
        <w:rPr>
          <w:rFonts w:hint="eastAsia" w:ascii="仿宋_GB2312" w:hAnsi="仿宋_GB2312" w:eastAsia="仿宋_GB2312" w:cs="仿宋_GB2312"/>
          <w:sz w:val="33"/>
          <w:szCs w:val="33"/>
          <w:lang w:eastAsia="zh-CN"/>
        </w:rPr>
        <w:t>。</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三、收支预算情况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按照综合预算的原则，</w:t>
      </w:r>
      <w:r>
        <w:rPr>
          <w:rFonts w:hint="eastAsia" w:ascii="仿宋_GB2312" w:eastAsia="仿宋_GB2312"/>
          <w:sz w:val="32"/>
          <w:szCs w:val="32"/>
          <w:lang w:eastAsia="zh-CN"/>
        </w:rPr>
        <w:t>礼安初中</w:t>
      </w:r>
      <w:r>
        <w:rPr>
          <w:rFonts w:hint="eastAsia" w:ascii="仿宋_GB2312" w:eastAsia="仿宋_GB2312"/>
          <w:sz w:val="32"/>
          <w:szCs w:val="32"/>
        </w:rPr>
        <w:t>所有收入和支出均纳入部门预算管理。收入包括：一般公共预算拨款收入</w:t>
      </w:r>
      <w:r>
        <w:rPr>
          <w:rFonts w:hint="eastAsia" w:ascii="仿宋_GB2312" w:eastAsia="仿宋_GB2312"/>
          <w:sz w:val="32"/>
          <w:szCs w:val="32"/>
          <w:lang w:val="en-US" w:eastAsia="zh-CN"/>
        </w:rPr>
        <w:t>258.72</w:t>
      </w:r>
      <w:r>
        <w:rPr>
          <w:rFonts w:hint="eastAsia" w:ascii="仿宋_GB2312" w:eastAsia="仿宋_GB2312"/>
          <w:sz w:val="32"/>
          <w:szCs w:val="32"/>
        </w:rPr>
        <w:t>万元，</w:t>
      </w:r>
      <w:r>
        <w:rPr>
          <w:rFonts w:ascii="仿宋_GB2312" w:eastAsia="仿宋_GB2312"/>
          <w:sz w:val="32"/>
          <w:szCs w:val="32"/>
        </w:rPr>
        <w:t>上年结转收入</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礼安初中</w:t>
      </w:r>
      <w:r>
        <w:rPr>
          <w:rFonts w:hint="eastAsia" w:ascii="仿宋_GB2312" w:eastAsia="仿宋_GB2312"/>
          <w:sz w:val="32"/>
          <w:szCs w:val="32"/>
        </w:rPr>
        <w:t>2021年收支总预算</w:t>
      </w:r>
      <w:r>
        <w:rPr>
          <w:rFonts w:hint="eastAsia" w:ascii="仿宋_GB2312" w:eastAsia="仿宋_GB2312"/>
          <w:sz w:val="32"/>
          <w:szCs w:val="32"/>
          <w:lang w:val="en-US" w:eastAsia="zh-CN"/>
        </w:rPr>
        <w:t>258.72</w:t>
      </w:r>
      <w:r>
        <w:rPr>
          <w:rFonts w:hint="eastAsia" w:ascii="仿宋_GB2312" w:eastAsia="仿宋_GB2312"/>
          <w:sz w:val="32"/>
          <w:szCs w:val="32"/>
        </w:rPr>
        <w:t>万元，较2020年收支总预算总数增加</w:t>
      </w:r>
      <w:r>
        <w:rPr>
          <w:rFonts w:hint="eastAsia" w:ascii="仿宋_GB2312" w:eastAsia="仿宋_GB2312"/>
          <w:sz w:val="32"/>
          <w:szCs w:val="32"/>
          <w:lang w:val="en-US" w:eastAsia="zh-CN"/>
        </w:rPr>
        <w:t>13.81</w:t>
      </w:r>
      <w:r>
        <w:rPr>
          <w:rFonts w:hint="eastAsia" w:ascii="仿宋_GB2312" w:eastAsia="仿宋_GB2312"/>
          <w:sz w:val="32"/>
          <w:szCs w:val="32"/>
        </w:rPr>
        <w:t>万元，主要原因是</w:t>
      </w:r>
      <w:r>
        <w:rPr>
          <w:rFonts w:hint="eastAsia" w:ascii="仿宋_GB2312" w:eastAsia="仿宋_GB2312"/>
          <w:sz w:val="32"/>
          <w:szCs w:val="32"/>
          <w:lang w:eastAsia="zh-CN"/>
        </w:rPr>
        <w:t>人员增加和项目支出经费增加</w:t>
      </w:r>
      <w:r>
        <w:rPr>
          <w:rFonts w:hint="eastAsia" w:ascii="仿宋_GB2312" w:eastAsia="仿宋_GB2312"/>
          <w:sz w:val="32"/>
          <w:szCs w:val="32"/>
        </w:rPr>
        <w:t>。</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（一）收入预算情况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礼安初中</w:t>
      </w:r>
      <w:r>
        <w:rPr>
          <w:rFonts w:hint="eastAsia" w:ascii="仿宋_GB2312" w:eastAsia="仿宋_GB2312"/>
          <w:sz w:val="32"/>
          <w:szCs w:val="32"/>
        </w:rPr>
        <w:t>2021年收入预算</w:t>
      </w:r>
      <w:r>
        <w:rPr>
          <w:rFonts w:hint="eastAsia" w:ascii="仿宋_GB2312" w:eastAsia="仿宋_GB2312"/>
          <w:sz w:val="32"/>
          <w:szCs w:val="32"/>
          <w:lang w:val="en-US" w:eastAsia="zh-CN"/>
        </w:rPr>
        <w:t>258.72</w:t>
      </w:r>
      <w:r>
        <w:rPr>
          <w:rFonts w:hint="eastAsia" w:ascii="仿宋_GB2312" w:eastAsia="仿宋_GB2312"/>
          <w:sz w:val="32"/>
          <w:szCs w:val="32"/>
        </w:rPr>
        <w:t>万元，其中：上年结转</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%；一般公共预算拨款收入</w:t>
      </w:r>
      <w:r>
        <w:rPr>
          <w:rFonts w:hint="eastAsia" w:ascii="仿宋_GB2312" w:eastAsia="仿宋_GB2312"/>
          <w:sz w:val="32"/>
          <w:szCs w:val="32"/>
          <w:lang w:val="en-US" w:eastAsia="zh-CN"/>
        </w:rPr>
        <w:t>258.72</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w:t>
      </w:r>
      <w:r>
        <w:rPr>
          <w:rFonts w:hint="eastAsia" w:ascii="仿宋_GB2312" w:eastAsia="仿宋_GB2312"/>
          <w:sz w:val="32"/>
          <w:szCs w:val="32"/>
          <w:lang w:eastAsia="zh-CN"/>
        </w:rPr>
        <w:t>。</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（二）支出预算情况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礼安初中</w:t>
      </w:r>
      <w:r>
        <w:rPr>
          <w:rFonts w:hint="eastAsia" w:ascii="仿宋_GB2312" w:eastAsia="仿宋_GB2312"/>
          <w:sz w:val="32"/>
          <w:szCs w:val="32"/>
        </w:rPr>
        <w:t>2021年支出预算</w:t>
      </w:r>
      <w:r>
        <w:rPr>
          <w:rFonts w:hint="eastAsia" w:ascii="仿宋_GB2312" w:eastAsia="仿宋_GB2312"/>
          <w:sz w:val="32"/>
          <w:szCs w:val="32"/>
          <w:lang w:eastAsia="zh-CN"/>
        </w:rPr>
        <w:t>258.72</w:t>
      </w:r>
      <w:r>
        <w:rPr>
          <w:rFonts w:hint="eastAsia" w:ascii="仿宋_GB2312" w:eastAsia="仿宋_GB2312"/>
          <w:sz w:val="32"/>
          <w:szCs w:val="32"/>
        </w:rPr>
        <w:t>万元，其中：基本支出</w:t>
      </w:r>
      <w:r>
        <w:rPr>
          <w:rFonts w:hint="eastAsia" w:ascii="仿宋_GB2312" w:eastAsia="仿宋_GB2312"/>
          <w:sz w:val="32"/>
          <w:szCs w:val="32"/>
          <w:lang w:eastAsia="zh-CN"/>
        </w:rPr>
        <w:t>258.72</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p>
    <w:p>
      <w:pPr>
        <w:spacing w:line="600" w:lineRule="exact"/>
        <w:ind w:firstLine="640" w:firstLineChars="200"/>
        <w:rPr>
          <w:rFonts w:ascii="仿宋_GB2312" w:eastAsia="仿宋_GB2312"/>
          <w:sz w:val="32"/>
          <w:szCs w:val="32"/>
        </w:rPr>
      </w:pPr>
      <w:r>
        <w:rPr>
          <w:rFonts w:hint="eastAsia" w:ascii="黑体" w:hAnsi="黑体" w:eastAsia="黑体"/>
          <w:sz w:val="32"/>
          <w:szCs w:val="32"/>
        </w:rPr>
        <w:t>四、财政拨款收支预算情况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礼安初中</w:t>
      </w:r>
      <w:r>
        <w:rPr>
          <w:rFonts w:hint="eastAsia" w:ascii="仿宋_GB2312" w:eastAsia="仿宋_GB2312"/>
          <w:sz w:val="32"/>
          <w:szCs w:val="32"/>
        </w:rPr>
        <w:t>2021年财政拨款收支总预算</w:t>
      </w:r>
      <w:r>
        <w:rPr>
          <w:rFonts w:hint="eastAsia" w:ascii="仿宋_GB2312" w:eastAsia="仿宋_GB2312"/>
          <w:sz w:val="32"/>
          <w:szCs w:val="32"/>
          <w:lang w:eastAsia="zh-CN"/>
        </w:rPr>
        <w:t>258.72</w:t>
      </w:r>
      <w:r>
        <w:rPr>
          <w:rFonts w:hint="eastAsia" w:ascii="仿宋_GB2312" w:eastAsia="仿宋_GB2312"/>
          <w:sz w:val="32"/>
          <w:szCs w:val="32"/>
        </w:rPr>
        <w:t>万元，较2020年财政拨款收支总预算增减</w:t>
      </w:r>
      <w:r>
        <w:rPr>
          <w:rFonts w:hint="eastAsia" w:ascii="仿宋_GB2312" w:eastAsia="仿宋_GB2312"/>
          <w:sz w:val="32"/>
          <w:szCs w:val="32"/>
          <w:lang w:val="en-US" w:eastAsia="zh-CN"/>
        </w:rPr>
        <w:t>13.81</w:t>
      </w:r>
      <w:r>
        <w:rPr>
          <w:rFonts w:hint="eastAsia" w:ascii="仿宋_GB2312" w:eastAsia="仿宋_GB2312"/>
          <w:sz w:val="32"/>
          <w:szCs w:val="32"/>
        </w:rPr>
        <w:t>万元。主要原因是</w:t>
      </w:r>
      <w:r>
        <w:rPr>
          <w:rFonts w:hint="eastAsia" w:ascii="仿宋_GB2312" w:eastAsia="仿宋_GB2312"/>
          <w:sz w:val="32"/>
          <w:szCs w:val="32"/>
          <w:lang w:eastAsia="zh-CN"/>
        </w:rPr>
        <w:t>人员增加和项目支出经费增加。</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eastAsia="仿宋_GB2312"/>
          <w:sz w:val="32"/>
          <w:szCs w:val="32"/>
        </w:rPr>
        <w:t>收入包括：本年一般公共预算拨款收入</w:t>
      </w:r>
      <w:r>
        <w:rPr>
          <w:rFonts w:hint="eastAsia" w:ascii="仿宋_GB2312" w:eastAsia="仿宋_GB2312"/>
          <w:sz w:val="32"/>
          <w:szCs w:val="32"/>
          <w:lang w:eastAsia="zh-CN"/>
        </w:rPr>
        <w:t>258.72</w:t>
      </w:r>
      <w:r>
        <w:rPr>
          <w:rFonts w:hint="eastAsia" w:ascii="仿宋_GB2312" w:eastAsia="仿宋_GB2312"/>
          <w:sz w:val="32"/>
          <w:szCs w:val="32"/>
        </w:rPr>
        <w:t>万元，支出包括：一般公共服务支出</w:t>
      </w:r>
      <w:r>
        <w:rPr>
          <w:rFonts w:hint="eastAsia" w:ascii="仿宋_GB2312" w:eastAsia="仿宋_GB2312"/>
          <w:sz w:val="32"/>
          <w:szCs w:val="32"/>
          <w:lang w:eastAsia="zh-CN"/>
        </w:rPr>
        <w:t>258.72</w:t>
      </w:r>
      <w:r>
        <w:rPr>
          <w:rFonts w:hint="eastAsia" w:ascii="仿宋_GB2312" w:eastAsia="仿宋_GB2312"/>
          <w:sz w:val="32"/>
          <w:szCs w:val="32"/>
        </w:rPr>
        <w:t>万元，</w:t>
      </w:r>
      <w:r>
        <w:rPr>
          <w:rFonts w:hint="eastAsia" w:ascii="仿宋_GB2312" w:hAnsi="仿宋_GB2312" w:eastAsia="仿宋_GB2312" w:cs="仿宋_GB2312"/>
          <w:sz w:val="33"/>
          <w:szCs w:val="33"/>
        </w:rPr>
        <w:t>其中：人员支出</w:t>
      </w:r>
      <w:r>
        <w:rPr>
          <w:rFonts w:hint="eastAsia" w:ascii="仿宋_GB2312" w:hAnsi="仿宋_GB2312" w:eastAsia="仿宋_GB2312" w:cs="仿宋_GB2312"/>
          <w:sz w:val="33"/>
          <w:szCs w:val="33"/>
          <w:lang w:val="en-US" w:eastAsia="zh-CN"/>
        </w:rPr>
        <w:t>256.96</w:t>
      </w:r>
      <w:r>
        <w:rPr>
          <w:rFonts w:hint="eastAsia" w:ascii="仿宋_GB2312" w:hAnsi="仿宋_GB2312" w:eastAsia="仿宋_GB2312" w:cs="仿宋_GB2312"/>
          <w:sz w:val="33"/>
          <w:szCs w:val="33"/>
        </w:rPr>
        <w:t>万元，日常公用支出</w:t>
      </w:r>
      <w:r>
        <w:rPr>
          <w:rFonts w:hint="eastAsia" w:ascii="仿宋_GB2312" w:hAnsi="仿宋_GB2312" w:eastAsia="仿宋_GB2312" w:cs="仿宋_GB2312"/>
          <w:sz w:val="33"/>
          <w:szCs w:val="33"/>
          <w:lang w:val="en-US" w:eastAsia="zh-CN"/>
        </w:rPr>
        <w:t>1.73</w:t>
      </w:r>
      <w:r>
        <w:rPr>
          <w:rFonts w:hint="eastAsia" w:ascii="仿宋_GB2312" w:hAnsi="仿宋_GB2312" w:eastAsia="仿宋_GB2312" w:cs="仿宋_GB2312"/>
          <w:sz w:val="33"/>
          <w:szCs w:val="33"/>
        </w:rPr>
        <w:t>万元，对个人和家庭的补助支出</w:t>
      </w:r>
      <w:r>
        <w:rPr>
          <w:rFonts w:hint="eastAsia" w:ascii="仿宋_GB2312" w:hAnsi="仿宋_GB2312" w:eastAsia="仿宋_GB2312" w:cs="仿宋_GB2312"/>
          <w:sz w:val="33"/>
          <w:szCs w:val="33"/>
          <w:lang w:val="en-US" w:eastAsia="zh-CN"/>
        </w:rPr>
        <w:t>0.03</w:t>
      </w:r>
      <w:r>
        <w:rPr>
          <w:rFonts w:hint="eastAsia" w:ascii="仿宋_GB2312" w:hAnsi="仿宋_GB2312" w:eastAsia="仿宋_GB2312" w:cs="仿宋_GB2312"/>
          <w:sz w:val="33"/>
          <w:szCs w:val="33"/>
        </w:rPr>
        <w:t>万元。</w:t>
      </w:r>
    </w:p>
    <w:p>
      <w:pPr>
        <w:spacing w:line="600" w:lineRule="exact"/>
        <w:ind w:firstLine="640" w:firstLineChars="200"/>
        <w:rPr>
          <w:rFonts w:ascii="楷体" w:hAnsi="楷体" w:eastAsia="楷体"/>
          <w:b/>
          <w:sz w:val="32"/>
          <w:szCs w:val="32"/>
        </w:rPr>
      </w:pPr>
      <w:r>
        <w:rPr>
          <w:rFonts w:hint="eastAsia" w:ascii="黑体" w:hAnsi="黑体" w:eastAsia="黑体"/>
          <w:sz w:val="32"/>
          <w:szCs w:val="32"/>
        </w:rPr>
        <w:t>五、一般公共预算当年财政拨款情况</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（一）一般公共预算当年财政拨款规模变化情况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礼安初中</w:t>
      </w:r>
      <w:r>
        <w:rPr>
          <w:rFonts w:hint="eastAsia" w:ascii="仿宋_GB2312" w:eastAsia="仿宋_GB2312"/>
          <w:sz w:val="32"/>
          <w:szCs w:val="32"/>
        </w:rPr>
        <w:t>2021年一般公共预算当年财政拨款</w:t>
      </w:r>
      <w:r>
        <w:rPr>
          <w:rFonts w:hint="eastAsia" w:ascii="仿宋_GB2312" w:eastAsia="仿宋_GB2312"/>
          <w:sz w:val="32"/>
          <w:szCs w:val="32"/>
          <w:lang w:eastAsia="zh-CN"/>
        </w:rPr>
        <w:t>258.72</w:t>
      </w:r>
      <w:r>
        <w:rPr>
          <w:rFonts w:hint="eastAsia" w:ascii="仿宋_GB2312" w:eastAsia="仿宋_GB2312"/>
          <w:sz w:val="32"/>
          <w:szCs w:val="32"/>
        </w:rPr>
        <w:t>万元，较2020年预算数增加</w:t>
      </w:r>
      <w:r>
        <w:rPr>
          <w:rFonts w:hint="eastAsia" w:ascii="仿宋_GB2312" w:eastAsia="仿宋_GB2312"/>
          <w:sz w:val="32"/>
          <w:szCs w:val="32"/>
          <w:lang w:val="en-US" w:eastAsia="zh-CN"/>
        </w:rPr>
        <w:t>13.81</w:t>
      </w:r>
      <w:r>
        <w:rPr>
          <w:rFonts w:hint="eastAsia" w:ascii="仿宋_GB2312" w:eastAsia="仿宋_GB2312"/>
          <w:sz w:val="32"/>
          <w:szCs w:val="32"/>
        </w:rPr>
        <w:t>万元，增加%。主要是</w:t>
      </w:r>
      <w:r>
        <w:rPr>
          <w:rFonts w:hint="eastAsia" w:ascii="仿宋_GB2312" w:eastAsia="仿宋_GB2312"/>
          <w:sz w:val="32"/>
          <w:szCs w:val="32"/>
          <w:lang w:eastAsia="zh-CN"/>
        </w:rPr>
        <w:t>人员增加和项目支出经费增加。</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（二）一般公共预算当年财政拨款支出结构情况</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eastAsia="仿宋_GB2312"/>
          <w:sz w:val="32"/>
          <w:szCs w:val="32"/>
        </w:rPr>
        <w:t>一般公共服务支出</w:t>
      </w:r>
      <w:r>
        <w:rPr>
          <w:rFonts w:hint="eastAsia" w:ascii="仿宋_GB2312" w:eastAsia="仿宋_GB2312"/>
          <w:sz w:val="32"/>
          <w:szCs w:val="32"/>
          <w:lang w:eastAsia="zh-CN"/>
        </w:rPr>
        <w:t>258.72</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%；教育支出</w:t>
      </w:r>
      <w:r>
        <w:rPr>
          <w:rFonts w:hint="eastAsia" w:ascii="仿宋_GB2312" w:eastAsia="仿宋_GB2312"/>
          <w:sz w:val="32"/>
          <w:szCs w:val="32"/>
          <w:lang w:val="en-US" w:eastAsia="zh-CN"/>
        </w:rPr>
        <w:t>194.16</w:t>
      </w:r>
      <w:r>
        <w:rPr>
          <w:rFonts w:hint="eastAsia" w:ascii="仿宋_GB2312" w:eastAsia="仿宋_GB2312"/>
          <w:sz w:val="32"/>
          <w:szCs w:val="32"/>
        </w:rPr>
        <w:t>万元，占</w:t>
      </w:r>
      <w:r>
        <w:rPr>
          <w:rFonts w:hint="eastAsia" w:ascii="仿宋_GB2312" w:eastAsia="仿宋_GB2312"/>
          <w:sz w:val="32"/>
          <w:szCs w:val="32"/>
          <w:lang w:val="en-US" w:eastAsia="zh-CN"/>
        </w:rPr>
        <w:t>75.05</w:t>
      </w:r>
      <w:r>
        <w:rPr>
          <w:rFonts w:hint="eastAsia" w:ascii="仿宋_GB2312" w:eastAsia="仿宋_GB2312"/>
          <w:sz w:val="32"/>
          <w:szCs w:val="32"/>
        </w:rPr>
        <w:t>%；</w:t>
      </w:r>
      <w:r>
        <w:rPr>
          <w:rFonts w:hint="eastAsia" w:ascii="仿宋_GB2312" w:hAnsi="仿宋_GB2312" w:eastAsia="仿宋_GB2312" w:cs="仿宋_GB2312"/>
          <w:sz w:val="33"/>
          <w:szCs w:val="33"/>
        </w:rPr>
        <w:t>行政事业单位基本养老保险缴费支出</w:t>
      </w:r>
      <w:r>
        <w:rPr>
          <w:rFonts w:hint="eastAsia" w:ascii="仿宋_GB2312" w:hAnsi="仿宋_GB2312" w:eastAsia="仿宋_GB2312" w:cs="仿宋_GB2312"/>
          <w:sz w:val="33"/>
          <w:szCs w:val="33"/>
          <w:lang w:val="en-US" w:eastAsia="zh-CN"/>
        </w:rPr>
        <w:t>27.66</w:t>
      </w:r>
      <w:r>
        <w:rPr>
          <w:rFonts w:hint="eastAsia" w:ascii="仿宋_GB2312" w:hAnsi="仿宋_GB2312" w:eastAsia="仿宋_GB2312" w:cs="仿宋_GB2312"/>
          <w:sz w:val="33"/>
          <w:szCs w:val="33"/>
        </w:rPr>
        <w:t>万元</w:t>
      </w:r>
      <w:r>
        <w:rPr>
          <w:rFonts w:hint="eastAsia" w:ascii="仿宋_GB2312" w:hAnsi="仿宋_GB2312" w:eastAsia="仿宋_GB2312" w:cs="仿宋_GB2312"/>
          <w:sz w:val="33"/>
          <w:szCs w:val="33"/>
          <w:lang w:eastAsia="zh-CN"/>
        </w:rPr>
        <w:t>，占</w:t>
      </w:r>
      <w:r>
        <w:rPr>
          <w:rFonts w:hint="eastAsia" w:ascii="仿宋_GB2312" w:hAnsi="仿宋_GB2312" w:eastAsia="仿宋_GB2312" w:cs="仿宋_GB2312"/>
          <w:sz w:val="33"/>
          <w:szCs w:val="33"/>
          <w:lang w:val="en-US" w:eastAsia="zh-CN"/>
        </w:rPr>
        <w:t>10.69%，</w:t>
      </w:r>
      <w:r>
        <w:rPr>
          <w:rFonts w:hint="eastAsia" w:ascii="仿宋_GB2312" w:hAnsi="仿宋_GB2312" w:eastAsia="仿宋_GB2312" w:cs="仿宋_GB2312"/>
          <w:sz w:val="33"/>
          <w:szCs w:val="33"/>
        </w:rPr>
        <w:t>事业单位医疗支出、公务员医疗补助及其他行政事业单位医疗支出共计</w:t>
      </w:r>
      <w:r>
        <w:rPr>
          <w:rFonts w:hint="eastAsia" w:ascii="仿宋_GB2312" w:hAnsi="仿宋_GB2312" w:eastAsia="仿宋_GB2312" w:cs="仿宋_GB2312"/>
          <w:sz w:val="33"/>
          <w:szCs w:val="33"/>
          <w:lang w:val="en-US" w:eastAsia="zh-CN"/>
        </w:rPr>
        <w:t>16.16</w:t>
      </w:r>
      <w:r>
        <w:rPr>
          <w:rFonts w:hint="eastAsia" w:ascii="仿宋_GB2312" w:hAnsi="仿宋_GB2312" w:eastAsia="仿宋_GB2312" w:cs="仿宋_GB2312"/>
          <w:sz w:val="33"/>
          <w:szCs w:val="33"/>
        </w:rPr>
        <w:t>万元</w:t>
      </w:r>
      <w:r>
        <w:rPr>
          <w:rFonts w:hint="eastAsia" w:ascii="仿宋_GB2312" w:hAnsi="仿宋_GB2312" w:eastAsia="仿宋_GB2312" w:cs="仿宋_GB2312"/>
          <w:sz w:val="33"/>
          <w:szCs w:val="33"/>
          <w:lang w:val="en-US" w:eastAsia="zh-CN"/>
        </w:rPr>
        <w:t>6.25%，</w:t>
      </w:r>
      <w:r>
        <w:rPr>
          <w:rFonts w:hint="eastAsia" w:ascii="仿宋_GB2312" w:hAnsi="仿宋_GB2312" w:eastAsia="仿宋_GB2312" w:cs="仿宋_GB2312"/>
          <w:sz w:val="33"/>
          <w:szCs w:val="33"/>
        </w:rPr>
        <w:t>住房保障支出</w:t>
      </w:r>
      <w:r>
        <w:rPr>
          <w:rFonts w:hint="eastAsia" w:ascii="仿宋_GB2312" w:hAnsi="仿宋_GB2312" w:eastAsia="仿宋_GB2312" w:cs="仿宋_GB2312"/>
          <w:sz w:val="33"/>
          <w:szCs w:val="33"/>
          <w:lang w:val="en-US" w:eastAsia="zh-CN"/>
        </w:rPr>
        <w:t>20.74</w:t>
      </w:r>
      <w:r>
        <w:rPr>
          <w:rFonts w:hint="eastAsia" w:ascii="仿宋_GB2312" w:hAnsi="仿宋_GB2312" w:eastAsia="仿宋_GB2312" w:cs="仿宋_GB2312"/>
          <w:sz w:val="33"/>
          <w:szCs w:val="33"/>
        </w:rPr>
        <w:t>万元</w:t>
      </w:r>
      <w:r>
        <w:rPr>
          <w:rFonts w:hint="eastAsia" w:ascii="仿宋_GB2312" w:hAnsi="仿宋_GB2312" w:eastAsia="仿宋_GB2312" w:cs="仿宋_GB2312"/>
          <w:sz w:val="33"/>
          <w:szCs w:val="33"/>
          <w:lang w:eastAsia="zh-CN"/>
        </w:rPr>
        <w:t>，占</w:t>
      </w:r>
      <w:r>
        <w:rPr>
          <w:rFonts w:hint="eastAsia" w:ascii="仿宋_GB2312" w:hAnsi="仿宋_GB2312" w:eastAsia="仿宋_GB2312" w:cs="仿宋_GB2312"/>
          <w:sz w:val="33"/>
          <w:szCs w:val="33"/>
          <w:lang w:val="en-US" w:eastAsia="zh-CN"/>
        </w:rPr>
        <w:t>8.01%。</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（三）一般公共预算当年财政拨款具体使用情况</w:t>
      </w:r>
    </w:p>
    <w:p>
      <w:pPr>
        <w:ind w:firstLine="660" w:firstLineChars="200"/>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（一）初中教育支出</w:t>
      </w:r>
      <w:r>
        <w:rPr>
          <w:rFonts w:hint="eastAsia" w:ascii="仿宋_GB2312" w:hAnsi="仿宋_GB2312" w:eastAsia="仿宋_GB2312" w:cs="仿宋_GB2312"/>
          <w:sz w:val="33"/>
          <w:szCs w:val="33"/>
          <w:lang w:val="en-US" w:eastAsia="zh-CN"/>
        </w:rPr>
        <w:t>194.16</w:t>
      </w:r>
      <w:r>
        <w:rPr>
          <w:rFonts w:hint="eastAsia" w:ascii="仿宋_GB2312" w:hAnsi="仿宋_GB2312" w:eastAsia="仿宋_GB2312" w:cs="仿宋_GB2312"/>
          <w:sz w:val="33"/>
          <w:szCs w:val="33"/>
        </w:rPr>
        <w:t>万元，主要用于：本校教职工基本工资、津补贴及绩效工资等。</w:t>
      </w:r>
    </w:p>
    <w:p>
      <w:pPr>
        <w:ind w:firstLine="660" w:firstLineChars="200"/>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（二）行政事业单位基本养老保险缴费支出</w:t>
      </w:r>
      <w:r>
        <w:rPr>
          <w:rFonts w:hint="eastAsia" w:ascii="仿宋_GB2312" w:hAnsi="仿宋_GB2312" w:eastAsia="仿宋_GB2312" w:cs="仿宋_GB2312"/>
          <w:sz w:val="33"/>
          <w:szCs w:val="33"/>
          <w:lang w:val="en-US" w:eastAsia="zh-CN"/>
        </w:rPr>
        <w:t>27.66</w:t>
      </w:r>
      <w:r>
        <w:rPr>
          <w:rFonts w:hint="eastAsia" w:ascii="仿宋_GB2312" w:hAnsi="仿宋_GB2312" w:eastAsia="仿宋_GB2312" w:cs="仿宋_GB2312"/>
          <w:sz w:val="33"/>
          <w:szCs w:val="33"/>
        </w:rPr>
        <w:t>万元，主要用于缴纳基本养老保险费。</w:t>
      </w:r>
    </w:p>
    <w:p>
      <w:pPr>
        <w:ind w:firstLine="660" w:firstLineChars="200"/>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（三）事业单位医疗支出、公务员医疗补助及其他行政事业单位医疗支出共计</w:t>
      </w:r>
      <w:r>
        <w:rPr>
          <w:rFonts w:hint="eastAsia" w:ascii="仿宋_GB2312" w:hAnsi="仿宋_GB2312" w:eastAsia="仿宋_GB2312" w:cs="仿宋_GB2312"/>
          <w:sz w:val="33"/>
          <w:szCs w:val="33"/>
          <w:lang w:val="en-US" w:eastAsia="zh-CN"/>
        </w:rPr>
        <w:t>16.16</w:t>
      </w:r>
      <w:r>
        <w:rPr>
          <w:rFonts w:hint="eastAsia" w:ascii="仿宋_GB2312" w:hAnsi="仿宋_GB2312" w:eastAsia="仿宋_GB2312" w:cs="仿宋_GB2312"/>
          <w:sz w:val="33"/>
          <w:szCs w:val="33"/>
        </w:rPr>
        <w:t>万元主要用于：按照规定标准为职工缴纳的基本医疗保险及公务员医疗补助等支出。</w:t>
      </w:r>
    </w:p>
    <w:p>
      <w:pPr>
        <w:ind w:firstLine="660" w:firstLineChars="200"/>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（四）住房保障支出</w:t>
      </w:r>
      <w:r>
        <w:rPr>
          <w:rFonts w:hint="eastAsia" w:ascii="仿宋_GB2312" w:hAnsi="仿宋_GB2312" w:eastAsia="仿宋_GB2312" w:cs="仿宋_GB2312"/>
          <w:sz w:val="33"/>
          <w:szCs w:val="33"/>
          <w:lang w:val="en-US" w:eastAsia="zh-CN"/>
        </w:rPr>
        <w:t>20.74</w:t>
      </w:r>
      <w:r>
        <w:rPr>
          <w:rFonts w:hint="eastAsia" w:ascii="仿宋_GB2312" w:hAnsi="仿宋_GB2312" w:eastAsia="仿宋_GB2312" w:cs="仿宋_GB2312"/>
          <w:sz w:val="33"/>
          <w:szCs w:val="33"/>
        </w:rPr>
        <w:t>万元，主要用于：按照规定标准为职工缴纳住房公积金支出。</w:t>
      </w:r>
    </w:p>
    <w:p>
      <w:pPr>
        <w:spacing w:line="600" w:lineRule="exact"/>
        <w:ind w:firstLine="640" w:firstLineChars="200"/>
        <w:rPr>
          <w:rFonts w:ascii="仿宋_GB2312" w:eastAsia="仿宋_GB2312"/>
          <w:sz w:val="32"/>
          <w:szCs w:val="32"/>
        </w:rPr>
      </w:pPr>
      <w:r>
        <w:rPr>
          <w:rFonts w:hint="eastAsia" w:ascii="黑体" w:hAnsi="黑体" w:eastAsia="黑体"/>
          <w:sz w:val="32"/>
          <w:szCs w:val="32"/>
        </w:rPr>
        <w:t>六、一般公共预算基本支出情况说明</w:t>
      </w:r>
      <w:r>
        <w:rPr>
          <w:rFonts w:hint="eastAsia" w:ascii="仿宋_GB2312" w:eastAsia="仿宋_GB2312"/>
          <w:sz w:val="32"/>
          <w:szCs w:val="32"/>
        </w:rPr>
        <w:br w:type="textWrapping"/>
      </w:r>
      <w:r>
        <w:rPr>
          <w:rFonts w:hint="eastAsia" w:ascii="仿宋_GB2312" w:eastAsia="仿宋_GB2312"/>
          <w:sz w:val="32"/>
          <w:szCs w:val="32"/>
        </w:rPr>
        <w:t>　　</w:t>
      </w:r>
      <w:r>
        <w:rPr>
          <w:rFonts w:hint="eastAsia" w:ascii="仿宋_GB2312" w:eastAsia="仿宋_GB2312"/>
          <w:sz w:val="32"/>
          <w:szCs w:val="32"/>
          <w:lang w:eastAsia="zh-CN"/>
        </w:rPr>
        <w:t>礼安初中</w:t>
      </w:r>
      <w:r>
        <w:rPr>
          <w:rFonts w:hint="eastAsia" w:ascii="仿宋_GB2312" w:eastAsia="仿宋_GB2312"/>
          <w:sz w:val="32"/>
          <w:szCs w:val="32"/>
        </w:rPr>
        <w:t>2021年一般公共预算基本支出</w:t>
      </w:r>
      <w:r>
        <w:rPr>
          <w:rFonts w:hint="eastAsia" w:ascii="仿宋_GB2312" w:eastAsia="仿宋_GB2312"/>
          <w:sz w:val="32"/>
          <w:szCs w:val="32"/>
          <w:lang w:eastAsia="zh-CN"/>
        </w:rPr>
        <w:t>258.72</w:t>
      </w:r>
      <w:r>
        <w:rPr>
          <w:rFonts w:hint="eastAsia" w:ascii="仿宋_GB2312" w:eastAsia="仿宋_GB2312"/>
          <w:sz w:val="32"/>
          <w:szCs w:val="32"/>
        </w:rPr>
        <w:t>万元，其中：</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人员经费</w:t>
      </w:r>
      <w:r>
        <w:rPr>
          <w:rFonts w:hint="eastAsia" w:ascii="仿宋_GB2312" w:eastAsia="仿宋_GB2312"/>
          <w:sz w:val="32"/>
          <w:szCs w:val="32"/>
          <w:lang w:val="en-US" w:eastAsia="zh-CN"/>
        </w:rPr>
        <w:t>256.96</w:t>
      </w:r>
      <w:r>
        <w:rPr>
          <w:rFonts w:hint="eastAsia" w:ascii="仿宋_GB2312" w:eastAsia="仿宋_GB2312"/>
          <w:sz w:val="32"/>
          <w:szCs w:val="32"/>
        </w:rPr>
        <w:t>万元，主要包括：基本工资、津贴补贴、奖金、社会保险缴费、绩效工资</w:t>
      </w:r>
      <w:r>
        <w:rPr>
          <w:rFonts w:hint="eastAsia" w:ascii="仿宋_GB2312" w:eastAsia="仿宋_GB2312"/>
          <w:sz w:val="32"/>
          <w:szCs w:val="32"/>
          <w:lang w:eastAsia="zh-CN"/>
        </w:rPr>
        <w:t>、</w:t>
      </w:r>
      <w:r>
        <w:rPr>
          <w:rFonts w:hint="eastAsia" w:ascii="仿宋_GB2312" w:eastAsia="仿宋_GB2312"/>
          <w:sz w:val="32"/>
          <w:szCs w:val="32"/>
          <w:lang w:val="en-US" w:eastAsia="zh-CN"/>
        </w:rPr>
        <w:t>遗属补助、独生子女费等</w:t>
      </w:r>
      <w:r>
        <w:rPr>
          <w:rFonts w:hint="eastAsia" w:ascii="仿宋_GB2312" w:eastAsia="仿宋_GB2312"/>
          <w:sz w:val="32"/>
          <w:szCs w:val="32"/>
        </w:rPr>
        <w:t>。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公用经费</w:t>
      </w:r>
      <w:r>
        <w:rPr>
          <w:rFonts w:hint="eastAsia" w:ascii="仿宋_GB2312" w:eastAsia="仿宋_GB2312"/>
          <w:sz w:val="32"/>
          <w:szCs w:val="32"/>
          <w:lang w:val="en-US" w:eastAsia="zh-CN"/>
        </w:rPr>
        <w:t>1.73</w:t>
      </w:r>
      <w:r>
        <w:rPr>
          <w:rFonts w:hint="eastAsia" w:ascii="仿宋_GB2312" w:eastAsia="仿宋_GB2312"/>
          <w:sz w:val="32"/>
          <w:szCs w:val="32"/>
        </w:rPr>
        <w:t>万元，主要包括：</w:t>
      </w:r>
      <w:r>
        <w:rPr>
          <w:rFonts w:hint="eastAsia" w:ascii="仿宋_GB2312" w:eastAsia="仿宋_GB2312"/>
          <w:sz w:val="32"/>
          <w:szCs w:val="32"/>
          <w:lang w:val="en-US" w:eastAsia="zh-CN"/>
        </w:rPr>
        <w:t>工会经费</w:t>
      </w:r>
      <w:r>
        <w:rPr>
          <w:rFonts w:hint="eastAsia" w:ascii="仿宋_GB2312" w:eastAsia="仿宋_GB2312"/>
          <w:sz w:val="32"/>
          <w:szCs w:val="32"/>
        </w:rPr>
        <w:t>。</w:t>
      </w:r>
    </w:p>
    <w:p>
      <w:pPr>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sz w:val="32"/>
          <w:szCs w:val="32"/>
        </w:rPr>
        <w:t>七、“三公”经费财政拨款预算安排情况说明</w:t>
      </w:r>
      <w:r>
        <w:rPr>
          <w:rFonts w:hint="eastAsia" w:ascii="仿宋_GB2312" w:eastAsia="仿宋_GB2312"/>
          <w:sz w:val="32"/>
          <w:szCs w:val="32"/>
        </w:rPr>
        <w:br w:type="textWrapping"/>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3"/>
          <w:szCs w:val="33"/>
        </w:rPr>
        <w:t>本校2021年未在财政拨款预算中安排“三公”经费，将在学校日常公用经费中列支</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（一）因公出国（境）经费无预算。</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（二）公务接待费较2020年预算数增加</w:t>
      </w:r>
      <w:r>
        <w:rPr>
          <w:rFonts w:hint="eastAsia" w:ascii="仿宋_GB2312" w:eastAsia="仿宋_GB2312"/>
          <w:sz w:val="32"/>
          <w:szCs w:val="32"/>
          <w:lang w:val="en-US" w:eastAsia="zh-CN"/>
        </w:rPr>
        <w:t>0元</w:t>
      </w:r>
      <w:r>
        <w:rPr>
          <w:rFonts w:hint="eastAsia" w:ascii="仿宋_GB2312" w:eastAsia="仿宋_GB2312"/>
          <w:sz w:val="32"/>
          <w:szCs w:val="32"/>
        </w:rPr>
        <w:t>，增长</w:t>
      </w:r>
      <w:r>
        <w:rPr>
          <w:rFonts w:hint="eastAsia" w:ascii="仿宋_GB2312" w:eastAsia="仿宋_GB2312"/>
          <w:sz w:val="32"/>
          <w:szCs w:val="32"/>
          <w:lang w:val="en-US" w:eastAsia="zh-CN"/>
        </w:rPr>
        <w:t>0</w:t>
      </w:r>
      <w:r>
        <w:rPr>
          <w:rFonts w:hint="eastAsia" w:ascii="仿宋_GB2312" w:eastAsia="仿宋_GB2312"/>
          <w:sz w:val="32"/>
          <w:szCs w:val="32"/>
        </w:rPr>
        <w:t>%，主要原因是：2021年</w:t>
      </w:r>
      <w:r>
        <w:rPr>
          <w:rFonts w:hint="eastAsia" w:ascii="仿宋_GB2312" w:eastAsia="仿宋_GB2312"/>
          <w:sz w:val="32"/>
          <w:szCs w:val="32"/>
          <w:lang w:eastAsia="zh-CN"/>
        </w:rPr>
        <w:t>未预算</w:t>
      </w:r>
      <w:r>
        <w:rPr>
          <w:rFonts w:hint="eastAsia" w:ascii="仿宋_GB2312" w:eastAsia="仿宋_GB2312"/>
          <w:sz w:val="32"/>
          <w:szCs w:val="32"/>
        </w:rPr>
        <w:t>公务接待费</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（三）公务用车购置及运行维护费</w:t>
      </w:r>
      <w:r>
        <w:rPr>
          <w:rFonts w:hint="eastAsia" w:ascii="仿宋_GB2312" w:eastAsia="仿宋_GB2312"/>
          <w:sz w:val="32"/>
          <w:szCs w:val="32"/>
          <w:lang w:eastAsia="zh-CN"/>
        </w:rPr>
        <w:t>无</w:t>
      </w:r>
      <w:r>
        <w:rPr>
          <w:rFonts w:hint="eastAsia" w:ascii="仿宋_GB2312" w:eastAsia="仿宋_GB2312"/>
          <w:sz w:val="32"/>
          <w:szCs w:val="32"/>
        </w:rPr>
        <w:t>预算</w:t>
      </w:r>
      <w:r>
        <w:rPr>
          <w:rFonts w:hint="eastAsia" w:ascii="仿宋_GB2312" w:eastAsia="仿宋_GB2312"/>
          <w:sz w:val="32"/>
          <w:szCs w:val="32"/>
          <w:lang w:eastAsia="zh-CN"/>
        </w:rPr>
        <w:t>，</w:t>
      </w:r>
      <w:r>
        <w:rPr>
          <w:rFonts w:hint="eastAsia" w:ascii="仿宋_GB2312" w:eastAsia="仿宋_GB2312"/>
          <w:sz w:val="32"/>
          <w:szCs w:val="32"/>
        </w:rPr>
        <w:t>2021年未安排公务用车购置费。</w:t>
      </w:r>
    </w:p>
    <w:p>
      <w:pPr>
        <w:spacing w:line="600" w:lineRule="exact"/>
        <w:ind w:firstLine="640" w:firstLineChars="200"/>
        <w:rPr>
          <w:rFonts w:ascii="楷体" w:hAnsi="楷体" w:eastAsia="楷体"/>
          <w:b/>
          <w:color w:val="FF0000"/>
          <w:sz w:val="32"/>
          <w:szCs w:val="32"/>
        </w:rPr>
      </w:pPr>
      <w:r>
        <w:rPr>
          <w:rFonts w:hint="eastAsia" w:ascii="黑体" w:hAnsi="黑体" w:eastAsia="黑体"/>
          <w:sz w:val="32"/>
          <w:szCs w:val="32"/>
        </w:rPr>
        <w:t>八、政府性基金预算支出情况说明</w:t>
      </w:r>
      <w:r>
        <w:rPr>
          <w:rFonts w:hint="eastAsia" w:ascii="仿宋_GB2312" w:eastAsia="仿宋_GB2312"/>
          <w:sz w:val="32"/>
          <w:szCs w:val="32"/>
        </w:rPr>
        <w:br w:type="textWrapping"/>
      </w:r>
      <w:r>
        <w:rPr>
          <w:rFonts w:hint="eastAsia" w:ascii="仿宋_GB2312" w:eastAsia="仿宋_GB2312"/>
          <w:sz w:val="32"/>
          <w:szCs w:val="32"/>
        </w:rPr>
        <w:t>　　</w:t>
      </w:r>
      <w:r>
        <w:rPr>
          <w:rFonts w:hint="eastAsia" w:ascii="仿宋_GB2312" w:eastAsia="仿宋_GB2312"/>
          <w:sz w:val="32"/>
          <w:szCs w:val="32"/>
          <w:lang w:eastAsia="zh-CN"/>
        </w:rPr>
        <w:t>礼安初中</w:t>
      </w:r>
      <w:r>
        <w:rPr>
          <w:rFonts w:hint="eastAsia" w:ascii="仿宋_GB2312" w:eastAsia="仿宋_GB2312"/>
          <w:sz w:val="32"/>
          <w:szCs w:val="32"/>
        </w:rPr>
        <w:t>2021年没有使用政府性基金预算拨款安排的支出。</w:t>
      </w:r>
    </w:p>
    <w:p>
      <w:pPr>
        <w:spacing w:line="600" w:lineRule="exact"/>
        <w:ind w:firstLine="640" w:firstLineChars="200"/>
        <w:rPr>
          <w:rFonts w:ascii="楷体" w:hAnsi="楷体" w:eastAsia="楷体"/>
          <w:b/>
          <w:sz w:val="32"/>
          <w:szCs w:val="32"/>
        </w:rPr>
      </w:pPr>
      <w:r>
        <w:rPr>
          <w:rFonts w:hint="eastAsia" w:ascii="黑体" w:hAnsi="黑体" w:eastAsia="黑体"/>
          <w:sz w:val="32"/>
          <w:szCs w:val="32"/>
        </w:rPr>
        <w:t>九、其他重要事项的情况说明</w:t>
      </w:r>
      <w:r>
        <w:rPr>
          <w:rFonts w:hint="eastAsia" w:ascii="仿宋_GB2312" w:eastAsia="仿宋_GB2312"/>
          <w:sz w:val="32"/>
          <w:szCs w:val="32"/>
        </w:rPr>
        <w:br w:type="textWrapping"/>
      </w:r>
      <w:r>
        <w:rPr>
          <w:rFonts w:hint="eastAsia" w:ascii="楷体" w:hAnsi="楷体" w:eastAsia="楷体"/>
          <w:b/>
          <w:sz w:val="32"/>
          <w:szCs w:val="32"/>
        </w:rPr>
        <w:t>　　（一）机关运行经费安排</w:t>
      </w:r>
      <w:r>
        <w:rPr>
          <w:rFonts w:ascii="楷体" w:hAnsi="楷体" w:eastAsia="楷体"/>
          <w:b/>
          <w:sz w:val="32"/>
          <w:szCs w:val="32"/>
        </w:rPr>
        <w:t>情况</w:t>
      </w:r>
    </w:p>
    <w:p>
      <w:pPr>
        <w:spacing w:line="600" w:lineRule="exact"/>
        <w:ind w:left="638" w:leftChars="304" w:firstLine="0" w:firstLineChars="0"/>
        <w:rPr>
          <w:rFonts w:ascii="楷体" w:hAnsi="楷体" w:eastAsia="楷体"/>
          <w:b/>
          <w:color w:val="FF0000"/>
          <w:sz w:val="32"/>
          <w:szCs w:val="32"/>
        </w:rPr>
      </w:pPr>
      <w:r>
        <w:rPr>
          <w:rFonts w:hint="eastAsia" w:ascii="仿宋_GB2312" w:eastAsia="仿宋_GB2312"/>
          <w:sz w:val="32"/>
          <w:szCs w:val="32"/>
        </w:rPr>
        <w:t>2021年，</w:t>
      </w:r>
      <w:r>
        <w:rPr>
          <w:rFonts w:hint="eastAsia" w:ascii="仿宋_GB2312" w:eastAsia="仿宋_GB2312"/>
          <w:sz w:val="32"/>
          <w:szCs w:val="32"/>
          <w:lang w:eastAsia="zh-CN"/>
        </w:rPr>
        <w:t>礼安初中</w:t>
      </w:r>
      <w:r>
        <w:rPr>
          <w:rFonts w:hint="eastAsia" w:ascii="仿宋_GB2312" w:eastAsia="仿宋_GB2312"/>
          <w:sz w:val="32"/>
          <w:szCs w:val="32"/>
        </w:rPr>
        <w:t>机关运行经费财政拨款预算为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楷体" w:hAnsi="楷体" w:eastAsia="楷体"/>
          <w:b/>
          <w:sz w:val="32"/>
          <w:szCs w:val="32"/>
        </w:rPr>
        <w:t>　　（二）政府采购情况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2021年，</w:t>
      </w:r>
      <w:r>
        <w:rPr>
          <w:rFonts w:hint="eastAsia" w:ascii="仿宋_GB2312" w:eastAsia="仿宋_GB2312"/>
          <w:sz w:val="32"/>
          <w:szCs w:val="32"/>
          <w:lang w:eastAsia="zh-CN"/>
        </w:rPr>
        <w:t>礼安初中</w:t>
      </w:r>
      <w:r>
        <w:rPr>
          <w:rFonts w:hint="eastAsia" w:ascii="仿宋_GB2312" w:eastAsia="仿宋_GB2312"/>
          <w:sz w:val="32"/>
          <w:szCs w:val="32"/>
        </w:rPr>
        <w:t>政府采购预算</w:t>
      </w:r>
      <w:r>
        <w:rPr>
          <w:rFonts w:hint="eastAsia" w:ascii="仿宋_GB2312" w:eastAsia="仿宋_GB2312"/>
          <w:sz w:val="32"/>
          <w:szCs w:val="32"/>
          <w:lang w:val="en-US" w:eastAsia="zh-CN"/>
        </w:rPr>
        <w:t>0万元</w:t>
      </w:r>
      <w:r>
        <w:rPr>
          <w:rFonts w:hint="eastAsia" w:ascii="仿宋_GB2312" w:eastAsia="仿宋_GB2312"/>
          <w:sz w:val="32"/>
          <w:szCs w:val="32"/>
          <w:lang w:eastAsia="zh-CN"/>
        </w:rPr>
        <w:t>。</w:t>
      </w:r>
    </w:p>
    <w:p>
      <w:pPr>
        <w:spacing w:line="600" w:lineRule="exact"/>
        <w:ind w:firstLine="643" w:firstLineChars="200"/>
        <w:rPr>
          <w:rFonts w:ascii="楷体" w:hAnsi="楷体" w:eastAsia="楷体"/>
          <w:b/>
          <w:color w:val="FF0000"/>
          <w:sz w:val="32"/>
          <w:szCs w:val="32"/>
        </w:rPr>
      </w:pPr>
      <w:r>
        <w:rPr>
          <w:rFonts w:hint="eastAsia" w:ascii="楷体" w:hAnsi="楷体" w:eastAsia="楷体"/>
          <w:b/>
          <w:sz w:val="32"/>
          <w:szCs w:val="32"/>
        </w:rPr>
        <w:t>（三）国有资产占有使用情况</w:t>
      </w:r>
    </w:p>
    <w:p>
      <w:pPr>
        <w:ind w:firstLine="645"/>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截至2020年底，本校未占有和使用国有资产；</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3"/>
          <w:szCs w:val="33"/>
        </w:rPr>
        <w:t>2021年部门预算未安排购置车辆及单位价值200万元以上大型设备。</w:t>
      </w:r>
      <w:r>
        <w:rPr>
          <w:rFonts w:hint="eastAsia" w:ascii="仿宋_GB2312" w:hAnsi="仿宋_GB2312" w:eastAsia="仿宋_GB2312" w:cs="仿宋_GB2312"/>
          <w:sz w:val="32"/>
          <w:szCs w:val="32"/>
        </w:rPr>
        <w:t xml:space="preserve"> </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（四）绩效目标设置情况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2021年</w:t>
      </w:r>
      <w:r>
        <w:rPr>
          <w:rFonts w:hint="eastAsia" w:ascii="仿宋_GB2312" w:eastAsia="仿宋_GB2312"/>
          <w:sz w:val="32"/>
          <w:szCs w:val="32"/>
          <w:lang w:val="en-US" w:eastAsia="zh-CN"/>
        </w:rPr>
        <w:t>礼安初中预算</w:t>
      </w:r>
      <w:r>
        <w:rPr>
          <w:rFonts w:hint="eastAsia" w:ascii="仿宋_GB2312" w:eastAsia="仿宋_GB2312"/>
          <w:sz w:val="32"/>
          <w:szCs w:val="32"/>
        </w:rPr>
        <w:t>项目</w:t>
      </w:r>
      <w:r>
        <w:rPr>
          <w:rFonts w:hint="eastAsia" w:ascii="仿宋_GB2312" w:eastAsia="仿宋_GB2312"/>
          <w:sz w:val="32"/>
          <w:szCs w:val="32"/>
          <w:lang w:val="en-US" w:eastAsia="zh-CN"/>
        </w:rPr>
        <w:t>未</w:t>
      </w:r>
      <w:r>
        <w:rPr>
          <w:rFonts w:hint="eastAsia" w:ascii="仿宋_GB2312" w:eastAsia="仿宋_GB2312"/>
          <w:sz w:val="32"/>
          <w:szCs w:val="32"/>
        </w:rPr>
        <w:t>纳入绩效目标管理，涉及一般公共预算当年拨款</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firstLineChars="200"/>
        <w:rPr>
          <w:rFonts w:ascii="楷体" w:hAnsi="楷体" w:eastAsia="楷体"/>
          <w:b/>
          <w:color w:val="FF0000"/>
          <w:sz w:val="32"/>
          <w:szCs w:val="32"/>
        </w:rPr>
      </w:pPr>
      <w:r>
        <w:rPr>
          <w:rFonts w:hint="eastAsia" w:ascii="黑体" w:hAnsi="黑体" w:eastAsia="黑体"/>
          <w:sz w:val="32"/>
          <w:szCs w:val="32"/>
        </w:rPr>
        <w:t>十、名词解释</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1.一般公共预算拨款收入：指市级财政当年拨付的资金。</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2.上年结转：指以前年度尚未完成，结转到本年仍按原规定用途继续使用的资金。</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3.一般公共服务（类）财政事务（款）行政运行（项）：指厅机关及参公管理事业单位用于保障机构正常运行、开展日常工作的基本支出。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4.一般公共服务（类）财政事务（款）一般行政管理事务（项）：指厅机关及参公管理事业单位开展财政综合业务、预决算编审等未单独设置项级科目的专门性财政管理工作的项目支出。</w:t>
      </w:r>
      <w:r>
        <w:rPr>
          <w:rFonts w:hint="eastAsia" w:ascii="仿宋_GB2312" w:eastAsia="仿宋_GB2312"/>
          <w:sz w:val="32"/>
          <w:szCs w:val="32"/>
        </w:rPr>
        <w:br w:type="textWrapping"/>
      </w:r>
      <w:r>
        <w:rPr>
          <w:rFonts w:hint="eastAsia" w:ascii="仿宋_GB2312" w:eastAsia="仿宋_GB2312"/>
          <w:sz w:val="32"/>
          <w:szCs w:val="32"/>
        </w:rPr>
        <w:t>　　5.基本支出：指为保证机构正常运转，完成日常工作任务而发生的人员支出和公用支出。</w:t>
      </w:r>
      <w:r>
        <w:rPr>
          <w:rFonts w:hint="eastAsia" w:ascii="仿宋_GB2312" w:eastAsia="仿宋_GB2312"/>
          <w:sz w:val="32"/>
          <w:szCs w:val="32"/>
        </w:rPr>
        <w:br w:type="textWrapping"/>
      </w:r>
      <w:r>
        <w:rPr>
          <w:rFonts w:hint="eastAsia" w:ascii="仿宋_GB2312" w:eastAsia="仿宋_GB2312"/>
          <w:sz w:val="32"/>
          <w:szCs w:val="32"/>
        </w:rPr>
        <w:t>　　6.项目支出：指在基本支出之外为完成特定行政任务和事业发展目标所发生的支出。</w:t>
      </w:r>
      <w:r>
        <w:rPr>
          <w:rFonts w:hint="eastAsia" w:ascii="仿宋_GB2312" w:eastAsia="仿宋_GB2312"/>
          <w:sz w:val="32"/>
          <w:szCs w:val="32"/>
        </w:rPr>
        <w:br w:type="textWrapping"/>
      </w:r>
      <w:r>
        <w:rPr>
          <w:rFonts w:hint="eastAsia" w:ascii="仿宋_GB2312" w:eastAsia="仿宋_GB2312"/>
          <w:sz w:val="32"/>
          <w:szCs w:val="32"/>
        </w:rPr>
        <w:t>　　7.“三公”经费：纳入部门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eastAsia="仿宋_GB2312"/>
          <w:sz w:val="32"/>
          <w:szCs w:val="32"/>
        </w:rPr>
        <w:br w:type="textWrapping"/>
      </w:r>
      <w:r>
        <w:rPr>
          <w:rFonts w:hint="eastAsia" w:ascii="仿宋_GB2312" w:eastAsia="仿宋_GB2312"/>
          <w:sz w:val="32"/>
          <w:szCs w:val="32"/>
        </w:rPr>
        <w:t>　　8.机关运行经费：为保障行政单位（包含参照公务员法管理的事业单位）运行用于购买货物和服务的各项资金。包括办公及印刷费、邮电费、差旅费、会议费一般设备购置费等费用开支。</w:t>
      </w:r>
    </w:p>
    <w:p>
      <w:pPr>
        <w:spacing w:line="600" w:lineRule="exact"/>
        <w:rPr>
          <w:rFonts w:ascii="仿宋_GB2312" w:eastAsia="仿宋_GB2312"/>
          <w:sz w:val="32"/>
          <w:szCs w:val="32"/>
        </w:rPr>
      </w:pPr>
      <w:r>
        <w:rPr>
          <w:rFonts w:hint="eastAsia" w:ascii="仿宋_GB2312" w:eastAsia="仿宋_GB2312"/>
          <w:sz w:val="32"/>
          <w:szCs w:val="32"/>
        </w:rPr>
        <w:t>附件：表1 部门收支总表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表1-1 部门收入总表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表1-2 部门支出总表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表2 财政拨款收支总表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表2-1财政拨款支出预算表（政府经济分类科目）</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表3 一般公共预算支出预算表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表3-1 一般公共预算基本支出预算表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表3-2一般公共预算项目支出预算表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表3-3 一般公共预算“三公”经费支出表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表4 政府性基金支出预算表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表4-1 政府性基金预算“三公”经费支出预算表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表5 国有资本经营预算支出预算表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表6 2021年部门预算项目绩效目标</w:t>
      </w:r>
    </w:p>
    <w:p>
      <w:pPr>
        <w:spacing w:line="600" w:lineRule="exact"/>
        <w:ind w:firstLine="640" w:firstLineChars="200"/>
        <w:rPr>
          <w:rFonts w:ascii="方正小标宋_GBK" w:eastAsia="方正小标宋_GBK"/>
          <w:sz w:val="32"/>
          <w:szCs w:val="32"/>
        </w:rPr>
      </w:pPr>
      <w:r>
        <w:rPr>
          <w:rFonts w:hint="eastAsia" w:ascii="方正小标宋_GBK" w:eastAsia="方正小标宋_GBK"/>
          <w:sz w:val="32"/>
          <w:szCs w:val="32"/>
        </w:rPr>
        <w:t>——（以上为正文）</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附件统一上传一个附件，以“2021年</w:t>
      </w:r>
      <w:r>
        <w:rPr>
          <w:rFonts w:hint="eastAsia" w:ascii="仿宋_GB2312" w:eastAsia="仿宋_GB2312"/>
          <w:sz w:val="32"/>
          <w:szCs w:val="32"/>
          <w:lang w:eastAsia="zh-CN"/>
        </w:rPr>
        <w:t>礼安初中</w:t>
      </w:r>
      <w:r>
        <w:rPr>
          <w:rFonts w:hint="eastAsia" w:ascii="仿宋_GB2312" w:eastAsia="仿宋_GB2312"/>
          <w:sz w:val="32"/>
          <w:szCs w:val="32"/>
        </w:rPr>
        <w:t>预算公开报表”命名进行上传</w:t>
      </w:r>
    </w:p>
    <w:p>
      <w:pPr>
        <w:spacing w:line="600" w:lineRule="exact"/>
        <w:ind w:firstLine="640" w:firstLineChars="200"/>
        <w:rPr>
          <w:rFonts w:ascii="仿宋_GB2312" w:eastAsia="仿宋_GB2312"/>
          <w:sz w:val="32"/>
          <w:szCs w:val="32"/>
        </w:rPr>
      </w:pPr>
    </w:p>
    <w:tbl>
      <w:tblPr>
        <w:tblStyle w:val="6"/>
        <w:tblW w:w="6" w:type="dxa"/>
        <w:tblInd w:w="0" w:type="dxa"/>
        <w:tblLayout w:type="fixed"/>
        <w:tblCellMar>
          <w:top w:w="15" w:type="dxa"/>
          <w:left w:w="15" w:type="dxa"/>
          <w:bottom w:w="15" w:type="dxa"/>
          <w:right w:w="15" w:type="dxa"/>
        </w:tblCellMar>
      </w:tblPr>
      <w:tblGrid>
        <w:gridCol w:w="20"/>
      </w:tblGrid>
      <w:tr>
        <w:tblPrEx>
          <w:tblCellMar>
            <w:top w:w="15" w:type="dxa"/>
            <w:left w:w="15" w:type="dxa"/>
            <w:bottom w:w="15" w:type="dxa"/>
            <w:right w:w="15" w:type="dxa"/>
          </w:tblCellMar>
        </w:tblPrEx>
        <w:tc>
          <w:tcPr>
            <w:tcW w:w="6" w:type="dxa"/>
            <w:tcMar>
              <w:top w:w="0" w:type="dxa"/>
              <w:left w:w="0" w:type="dxa"/>
              <w:bottom w:w="0" w:type="dxa"/>
              <w:right w:w="0" w:type="dxa"/>
            </w:tcMar>
            <w:vAlign w:val="center"/>
          </w:tcPr>
          <w:p>
            <w:pPr>
              <w:spacing w:line="600" w:lineRule="exact"/>
              <w:ind w:firstLine="640" w:firstLineChars="200"/>
              <w:rPr>
                <w:rFonts w:ascii="仿宋_GB2312" w:eastAsia="仿宋_GB2312"/>
                <w:sz w:val="32"/>
                <w:szCs w:val="32"/>
              </w:rPr>
            </w:pPr>
          </w:p>
        </w:tc>
      </w:tr>
    </w:tbl>
    <w:p>
      <w:pPr>
        <w:spacing w:line="600" w:lineRule="exact"/>
        <w:ind w:firstLine="640" w:firstLineChars="200"/>
        <w:rPr>
          <w:rFonts w:ascii="仿宋_GB2312" w:eastAsia="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NzIyN2MxYTlmMzQ1NGE2MjU5NWRkMjhlOGMxYTAifQ=="/>
  </w:docVars>
  <w:rsids>
    <w:rsidRoot w:val="00E170CA"/>
    <w:rsid w:val="000072F1"/>
    <w:rsid w:val="00076C36"/>
    <w:rsid w:val="00081E5A"/>
    <w:rsid w:val="00085EA3"/>
    <w:rsid w:val="000C5775"/>
    <w:rsid w:val="0012441B"/>
    <w:rsid w:val="00144BB5"/>
    <w:rsid w:val="00191D09"/>
    <w:rsid w:val="00197B77"/>
    <w:rsid w:val="001A6DE7"/>
    <w:rsid w:val="001D451F"/>
    <w:rsid w:val="0020334B"/>
    <w:rsid w:val="00216A91"/>
    <w:rsid w:val="002538F6"/>
    <w:rsid w:val="00260ABE"/>
    <w:rsid w:val="00270FD0"/>
    <w:rsid w:val="00276DC1"/>
    <w:rsid w:val="002C33AE"/>
    <w:rsid w:val="00322AF0"/>
    <w:rsid w:val="00331237"/>
    <w:rsid w:val="00337AE8"/>
    <w:rsid w:val="0034453B"/>
    <w:rsid w:val="00373878"/>
    <w:rsid w:val="00381239"/>
    <w:rsid w:val="003B5F97"/>
    <w:rsid w:val="003F53CB"/>
    <w:rsid w:val="004073D6"/>
    <w:rsid w:val="0045340C"/>
    <w:rsid w:val="00482C46"/>
    <w:rsid w:val="00493DFD"/>
    <w:rsid w:val="004D0BB0"/>
    <w:rsid w:val="004D5290"/>
    <w:rsid w:val="004D75ED"/>
    <w:rsid w:val="005130EB"/>
    <w:rsid w:val="00521CB3"/>
    <w:rsid w:val="005428A5"/>
    <w:rsid w:val="00576321"/>
    <w:rsid w:val="00576FB4"/>
    <w:rsid w:val="005C3869"/>
    <w:rsid w:val="00611D9C"/>
    <w:rsid w:val="0062409E"/>
    <w:rsid w:val="00666B82"/>
    <w:rsid w:val="0070051F"/>
    <w:rsid w:val="00764F01"/>
    <w:rsid w:val="007665D8"/>
    <w:rsid w:val="00777B93"/>
    <w:rsid w:val="0079110C"/>
    <w:rsid w:val="007C087B"/>
    <w:rsid w:val="0080402B"/>
    <w:rsid w:val="00845C4F"/>
    <w:rsid w:val="00861659"/>
    <w:rsid w:val="008B7368"/>
    <w:rsid w:val="008C5985"/>
    <w:rsid w:val="008F2303"/>
    <w:rsid w:val="00940B78"/>
    <w:rsid w:val="00946EA3"/>
    <w:rsid w:val="00984426"/>
    <w:rsid w:val="00997E34"/>
    <w:rsid w:val="009A0B53"/>
    <w:rsid w:val="00A31949"/>
    <w:rsid w:val="00A35B8D"/>
    <w:rsid w:val="00A37B17"/>
    <w:rsid w:val="00A62384"/>
    <w:rsid w:val="00A77CE0"/>
    <w:rsid w:val="00A911C5"/>
    <w:rsid w:val="00AC0BDA"/>
    <w:rsid w:val="00AD0E92"/>
    <w:rsid w:val="00AF69DB"/>
    <w:rsid w:val="00B153C4"/>
    <w:rsid w:val="00B22B69"/>
    <w:rsid w:val="00B32C24"/>
    <w:rsid w:val="00B70E58"/>
    <w:rsid w:val="00B71318"/>
    <w:rsid w:val="00B91E79"/>
    <w:rsid w:val="00B93E74"/>
    <w:rsid w:val="00BB624A"/>
    <w:rsid w:val="00C257B0"/>
    <w:rsid w:val="00C322D9"/>
    <w:rsid w:val="00D07E81"/>
    <w:rsid w:val="00D53922"/>
    <w:rsid w:val="00D73748"/>
    <w:rsid w:val="00D76232"/>
    <w:rsid w:val="00D956BA"/>
    <w:rsid w:val="00DC27D6"/>
    <w:rsid w:val="00DC4D31"/>
    <w:rsid w:val="00DD5001"/>
    <w:rsid w:val="00DD556D"/>
    <w:rsid w:val="00E00A0F"/>
    <w:rsid w:val="00E07F41"/>
    <w:rsid w:val="00E170CA"/>
    <w:rsid w:val="00E2553A"/>
    <w:rsid w:val="00E27E6C"/>
    <w:rsid w:val="00E4014D"/>
    <w:rsid w:val="00E42DBB"/>
    <w:rsid w:val="00EA0D9C"/>
    <w:rsid w:val="00EF01A4"/>
    <w:rsid w:val="00EF1F05"/>
    <w:rsid w:val="00EF4AF1"/>
    <w:rsid w:val="00F02918"/>
    <w:rsid w:val="00F25276"/>
    <w:rsid w:val="00F4266C"/>
    <w:rsid w:val="00F55386"/>
    <w:rsid w:val="00F77A7F"/>
    <w:rsid w:val="00FA45BE"/>
    <w:rsid w:val="04AF02D8"/>
    <w:rsid w:val="061A3B6D"/>
    <w:rsid w:val="09290D48"/>
    <w:rsid w:val="379A76EE"/>
    <w:rsid w:val="4204583E"/>
    <w:rsid w:val="4BD464F8"/>
    <w:rsid w:val="63B74892"/>
    <w:rsid w:val="6A9D076F"/>
    <w:rsid w:val="7172300D"/>
    <w:rsid w:val="73553110"/>
    <w:rsid w:val="75502E23"/>
    <w:rsid w:val="791C63C9"/>
    <w:rsid w:val="79FA6370"/>
    <w:rsid w:val="7B5667EC"/>
    <w:rsid w:val="7C871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5">
    <w:name w:val="toc 2"/>
    <w:basedOn w:val="1"/>
    <w:next w:val="1"/>
    <w:unhideWhenUsed/>
    <w:qFormat/>
    <w:uiPriority w:val="39"/>
    <w:pPr>
      <w:tabs>
        <w:tab w:val="right" w:leader="dot" w:pos="8296"/>
      </w:tabs>
      <w:ind w:left="420" w:leftChars="200"/>
    </w:pPr>
  </w:style>
  <w:style w:type="character" w:styleId="8">
    <w:name w:val="Strong"/>
    <w:basedOn w:val="7"/>
    <w:qFormat/>
    <w:uiPriority w:val="22"/>
    <w:rPr>
      <w:b/>
      <w:bCs/>
    </w:rPr>
  </w:style>
  <w:style w:type="character" w:styleId="9">
    <w:name w:val="Hyperlink"/>
    <w:basedOn w:val="7"/>
    <w:unhideWhenUsed/>
    <w:qFormat/>
    <w:uiPriority w:val="99"/>
    <w:rPr>
      <w:rFonts w:cs="Times New Roman"/>
      <w:color w:val="0000FF"/>
      <w:u w:val="single"/>
    </w:rPr>
  </w:style>
  <w:style w:type="character" w:customStyle="1" w:styleId="10">
    <w:name w:val="apple-converted-space"/>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11</Pages>
  <Words>4622</Words>
  <Characters>4903</Characters>
  <Lines>21</Lines>
  <Paragraphs>6</Paragraphs>
  <TotalTime>0</TotalTime>
  <ScaleCrop>false</ScaleCrop>
  <LinksUpToDate>false</LinksUpToDate>
  <CharactersWithSpaces>4994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2018-02-23T15:32:00Z</dcterms:created>
  <dc:creator>微软用户</dc:creator>
  <cp:lastModifiedBy>wangxuanti</cp:lastModifiedBy>
  <dcterms:modified xsi:type="dcterms:W3CDTF">2022-06-27T10:19:00Z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6FD23EAC76A444C49F81405F1FFF56FB</vt:lpwstr>
  </property>
</Properties>
</file>