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712" w:lineRule="exact"/>
        <w:ind w:left="0" w:leftChars="0" w:firstLine="0" w:firstLineChars="0"/>
        <w:jc w:val="center"/>
        <w:rPr>
          <w:rFonts w:hint="eastAsia"/>
          <w:color w:val="FF0000"/>
          <w:sz w:val="52"/>
          <w:szCs w:val="52"/>
          <w:lang w:eastAsia="zh-CN"/>
        </w:rPr>
      </w:pPr>
      <w:r>
        <w:rPr>
          <w:rFonts w:hint="eastAsia"/>
          <w:lang w:val="en-US" w:eastAsia="zh-CN"/>
        </w:rPr>
        <w:t xml:space="preserve">  </w:t>
      </w:r>
      <w:r>
        <w:rPr>
          <w:rFonts w:hint="eastAsia"/>
          <w:color w:val="FF0000"/>
          <w:lang w:val="en-US" w:eastAsia="zh-CN"/>
        </w:rPr>
        <w:t xml:space="preserve"> </w:t>
      </w:r>
      <w:r>
        <w:rPr>
          <w:rFonts w:hint="eastAsia"/>
          <w:color w:val="FF0000"/>
          <w:sz w:val="60"/>
          <w:szCs w:val="60"/>
          <w:lang w:eastAsia="zh-CN"/>
        </w:rPr>
        <w:t>武胜县胜利小学校</w:t>
      </w:r>
    </w:p>
    <w:p>
      <w:pPr>
        <w:pStyle w:val="2"/>
        <w:spacing w:line="712" w:lineRule="exact"/>
        <w:ind w:left="0" w:leftChars="0" w:firstLine="0" w:firstLineChars="0"/>
        <w:jc w:val="center"/>
      </w:pPr>
      <w:r>
        <w:rPr>
          <w:sz w:val="160"/>
          <w:szCs w:val="160"/>
        </w:rPr>
        <mc:AlternateContent>
          <mc:Choice Requires="wps">
            <w:drawing>
              <wp:anchor distT="0" distB="0" distL="114300" distR="114300" simplePos="0" relativeHeight="251661312" behindDoc="0" locked="0" layoutInCell="1" allowOverlap="1">
                <wp:simplePos x="0" y="0"/>
                <wp:positionH relativeFrom="column">
                  <wp:posOffset>-59690</wp:posOffset>
                </wp:positionH>
                <wp:positionV relativeFrom="paragraph">
                  <wp:posOffset>269240</wp:posOffset>
                </wp:positionV>
                <wp:extent cx="5742940" cy="19050"/>
                <wp:effectExtent l="0" t="0" r="10160" b="47625"/>
                <wp:wrapNone/>
                <wp:docPr id="4" name="直线 5"/>
                <wp:cNvGraphicFramePr/>
                <a:graphic xmlns:a="http://schemas.openxmlformats.org/drawingml/2006/main">
                  <a:graphicData uri="http://schemas.microsoft.com/office/word/2010/wordprocessingShape">
                    <wps:wsp>
                      <wps:cNvCnPr/>
                      <wps:spPr>
                        <a:xfrm flipV="1">
                          <a:off x="1038225" y="1724660"/>
                          <a:ext cx="5742940" cy="19050"/>
                        </a:xfrm>
                        <a:prstGeom prst="line">
                          <a:avLst/>
                        </a:prstGeom>
                        <a:solidFill>
                          <a:srgbClr val="FF0000"/>
                        </a:solidFill>
                        <a:ln w="63500">
                          <a:solidFill>
                            <a:srgbClr val="FF0000"/>
                          </a:solidFill>
                          <a:headEnd type="none" w="med" len="med"/>
                          <a:tailEnd type="none" w="med" len="med"/>
                        </a:ln>
                      </wps:spPr>
                      <wps:style>
                        <a:lnRef idx="1">
                          <a:schemeClr val="accent2"/>
                        </a:lnRef>
                        <a:fillRef idx="0">
                          <a:schemeClr val="accent2"/>
                        </a:fillRef>
                        <a:effectRef idx="0">
                          <a:schemeClr val="accent2"/>
                        </a:effectRef>
                        <a:fontRef idx="minor">
                          <a:schemeClr val="tx1"/>
                        </a:fontRef>
                      </wps:style>
                      <wps:bodyPr upright="1"/>
                    </wps:wsp>
                  </a:graphicData>
                </a:graphic>
              </wp:anchor>
            </w:drawing>
          </mc:Choice>
          <mc:Fallback>
            <w:pict>
              <v:line id="直线 5" o:spid="_x0000_s1026" o:spt="20" style="position:absolute;left:0pt;flip:y;margin-left:-4.7pt;margin-top:21.2pt;height:1.5pt;width:452.2pt;z-index:251661312;mso-width-relative:page;mso-height-relative:page;" fillcolor="#FF0000" filled="t" stroked="t" coordsize="21600,21600" o:gfxdata="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rFFxE2gAAAAgBAAAPAAAAAAAA&#10;AAEAIAAAACIAAABkcnMvZG93bnJldi54bWxQSwECFAAUAAAACACHTuJA9k0aNhACAAA1BAAADgAA&#10;AAAAAAABACAAAAApAQAAZHJzL2Uyb0RvYy54bWxQSwUGAAAAAAYABgBZAQAAqwUAAAAA&#10;">
                <v:fill on="t" focussize="0,0"/>
                <v:stroke weight="5pt" color="#FF0000 [3205]" joinstyle="round"/>
                <v:imagedata o:title=""/>
                <o:lock v:ext="edit" aspectratio="f"/>
              </v:line>
            </w:pict>
          </mc:Fallback>
        </mc:AlternateContent>
      </w:r>
      <w:r>
        <w:rPr>
          <w:sz w:val="160"/>
          <w:szCs w:val="160"/>
        </w:rPr>
        <mc:AlternateContent>
          <mc:Choice Requires="wps">
            <w:drawing>
              <wp:anchor distT="0" distB="0" distL="114300" distR="114300" simplePos="0" relativeHeight="251662336" behindDoc="0" locked="0" layoutInCell="1" allowOverlap="1">
                <wp:simplePos x="0" y="0"/>
                <wp:positionH relativeFrom="column">
                  <wp:posOffset>-78105</wp:posOffset>
                </wp:positionH>
                <wp:positionV relativeFrom="paragraph">
                  <wp:posOffset>364490</wp:posOffset>
                </wp:positionV>
                <wp:extent cx="5742305" cy="38100"/>
                <wp:effectExtent l="0" t="4445" r="10795" b="14605"/>
                <wp:wrapNone/>
                <wp:docPr id="5" name="直线 6"/>
                <wp:cNvGraphicFramePr/>
                <a:graphic xmlns:a="http://schemas.openxmlformats.org/drawingml/2006/main">
                  <a:graphicData uri="http://schemas.microsoft.com/office/word/2010/wordprocessingShape">
                    <wps:wsp>
                      <wps:cNvCnPr/>
                      <wps:spPr>
                        <a:xfrm flipV="1">
                          <a:off x="0" y="0"/>
                          <a:ext cx="5742305" cy="38100"/>
                        </a:xfrm>
                        <a:prstGeom prst="line">
                          <a:avLst/>
                        </a:prstGeom>
                        <a:ln w="9525" cap="flat" cmpd="sng">
                          <a:solidFill>
                            <a:srgbClr val="FF0000"/>
                          </a:solidFill>
                          <a:prstDash val="solid"/>
                          <a:headEnd type="none" w="med" len="med"/>
                          <a:tailEnd type="none" w="med" len="med"/>
                        </a:ln>
                      </wps:spPr>
                      <wps:bodyPr upright="1"/>
                    </wps:wsp>
                  </a:graphicData>
                </a:graphic>
              </wp:anchor>
            </w:drawing>
          </mc:Choice>
          <mc:Fallback>
            <w:pict>
              <v:line id="直线 6" o:spid="_x0000_s1026" o:spt="20" style="position:absolute;left:0pt;flip:y;margin-left:-6.15pt;margin-top:28.7pt;height:3pt;width:452.15pt;z-index:251662336;mso-width-relative:page;mso-height-relative:page;" filled="f" stroked="t" coordsize="21600,21600" o:gfxdata="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6//UB9oAAAAJAQAADwAAAAAAAAABACAAAAAiAAAAZHJzL2Rvd25yZXYueG1s&#10;UEsBAhQAFAAAAAgAh07iQHJduYL2AQAA6QMAAA4AAAAAAAAAAQAgAAAAKQEAAGRycy9lMm9Eb2Mu&#10;eG1sUEsFBgAAAAAGAAYAWQEAAJEFAAAAAA==&#10;">
                <v:fill on="f" focussize="0,0"/>
                <v:stroke color="#FF0000" joinstyle="round"/>
                <v:imagedata o:title=""/>
                <o:lock v:ext="edit" aspectratio="f"/>
              </v:line>
            </w:pict>
          </mc:Fallback>
        </mc:AlternateContent>
      </w:r>
    </w:p>
    <w:p>
      <w:pPr>
        <w:pStyle w:val="6"/>
        <w:pageBreakBefore w:val="0"/>
        <w:kinsoku/>
        <w:wordWrap/>
        <w:overflowPunct/>
        <w:topLinePunct w:val="0"/>
        <w:bidi w:val="0"/>
        <w:spacing w:line="240" w:lineRule="atLeast"/>
        <w:ind w:firstLine="562" w:firstLineChars="200"/>
        <w:textAlignment w:val="auto"/>
      </w:pPr>
      <w:r>
        <w:rPr>
          <w:rFonts w:hint="eastAsia"/>
        </w:rPr>
        <w:t>公开时间：20</w:t>
      </w:r>
      <w:r>
        <w:rPr>
          <w:rFonts w:hint="eastAsia"/>
          <w:lang w:val="en-US" w:eastAsia="zh-CN"/>
        </w:rPr>
        <w:t>21</w:t>
      </w:r>
      <w:r>
        <w:rPr>
          <w:rFonts w:hint="eastAsia"/>
        </w:rPr>
        <w:t>年</w:t>
      </w:r>
      <w:r>
        <w:rPr>
          <w:rFonts w:hint="eastAsia"/>
          <w:lang w:val="en-US" w:eastAsia="zh-CN"/>
        </w:rPr>
        <w:t>2</w:t>
      </w:r>
      <w:r>
        <w:rPr>
          <w:rFonts w:hint="eastAsia"/>
        </w:rPr>
        <w:t>月</w:t>
      </w:r>
      <w:r>
        <w:rPr>
          <w:rFonts w:hint="eastAsia"/>
          <w:lang w:val="en-US" w:eastAsia="zh-CN"/>
        </w:rPr>
        <w:t>25</w:t>
      </w:r>
      <w:r>
        <w:rPr>
          <w:rFonts w:hint="eastAsia"/>
        </w:rPr>
        <w:t>日</w:t>
      </w:r>
    </w:p>
    <w:p>
      <w:pPr>
        <w:pageBreakBefore w:val="0"/>
        <w:kinsoku/>
        <w:wordWrap/>
        <w:overflowPunct/>
        <w:topLinePunct w:val="0"/>
        <w:bidi w:val="0"/>
        <w:spacing w:line="240" w:lineRule="atLeast"/>
        <w:ind w:firstLine="442" w:firstLineChars="200"/>
        <w:textAlignment w:val="auto"/>
      </w:pPr>
    </w:p>
    <w:p>
      <w:pPr>
        <w:pStyle w:val="6"/>
        <w:pageBreakBefore w:val="0"/>
        <w:kinsoku/>
        <w:wordWrap/>
        <w:overflowPunct/>
        <w:topLinePunct w:val="0"/>
        <w:bidi w:val="0"/>
        <w:spacing w:line="240" w:lineRule="atLeast"/>
        <w:ind w:firstLine="562" w:firstLineChars="200"/>
        <w:jc w:val="both"/>
        <w:textAlignment w:val="auto"/>
        <w:rPr>
          <w:rFonts w:cstheme="minorBidi"/>
          <w:color w:val="auto"/>
        </w:rPr>
      </w:pPr>
      <w:r>
        <w:rPr>
          <w:rFonts w:hint="eastAsia"/>
          <w:lang w:eastAsia="zh-CN"/>
        </w:rPr>
        <w:t>　　</w:t>
      </w:r>
      <w:r>
        <w:rPr>
          <w:rFonts w:hint="eastAsia"/>
          <w:color w:val="auto"/>
          <w:lang w:eastAsia="zh-CN"/>
        </w:rPr>
        <w:t>　</w:t>
      </w:r>
      <w:r>
        <w:rPr>
          <w:color w:val="auto"/>
        </w:rPr>
        <w:fldChar w:fldCharType="begin"/>
      </w:r>
      <w:r>
        <w:rPr>
          <w:color w:val="auto"/>
        </w:rPr>
        <w:instrText xml:space="preserve"> HYPERLINK \l "_Toc15396599" </w:instrText>
      </w:r>
      <w:r>
        <w:rPr>
          <w:color w:val="auto"/>
        </w:rPr>
        <w:fldChar w:fldCharType="separate"/>
      </w:r>
      <w:r>
        <w:rPr>
          <w:rStyle w:val="10"/>
          <w:rFonts w:hint="eastAsia"/>
          <w:color w:val="auto"/>
        </w:rPr>
        <w:t>第一部分</w:t>
      </w:r>
      <w:r>
        <w:rPr>
          <w:rStyle w:val="10"/>
          <w:color w:val="auto"/>
        </w:rPr>
        <w:t xml:space="preserve"> </w:t>
      </w:r>
      <w:r>
        <w:rPr>
          <w:rStyle w:val="10"/>
          <w:rFonts w:hint="eastAsia"/>
          <w:color w:val="auto"/>
        </w:rPr>
        <w:t>部门概况</w:t>
      </w:r>
      <w:r>
        <w:rPr>
          <w:color w:val="auto"/>
        </w:rPr>
        <w:tab/>
      </w:r>
      <w:r>
        <w:rPr>
          <w:rFonts w:hint="eastAsia"/>
          <w:color w:val="auto"/>
          <w:lang w:val="en-US" w:eastAsia="zh-CN"/>
        </w:rPr>
        <w:t>2</w:t>
      </w:r>
      <w:r>
        <w:rPr>
          <w:rFonts w:hint="eastAsia"/>
          <w:color w:val="auto"/>
        </w:rPr>
        <w:fldChar w:fldCharType="end"/>
      </w:r>
    </w:p>
    <w:p>
      <w:pPr>
        <w:pStyle w:val="7"/>
        <w:pageBreakBefore w:val="0"/>
        <w:kinsoku/>
        <w:wordWrap/>
        <w:overflowPunct/>
        <w:topLinePunct w:val="0"/>
        <w:bidi w:val="0"/>
        <w:spacing w:line="240" w:lineRule="atLeast"/>
        <w:ind w:firstLine="442" w:firstLineChars="200"/>
        <w:textAlignment w:val="auto"/>
        <w:rPr>
          <w:rFonts w:hint="default" w:ascii="仿宋" w:hAnsi="仿宋" w:eastAsia="仿宋" w:cstheme="minorBidi"/>
          <w:color w:val="auto"/>
          <w:sz w:val="28"/>
          <w:szCs w:val="28"/>
          <w:lang w:val="en-US" w:eastAsia="zh-CN"/>
        </w:rPr>
      </w:pPr>
      <w:r>
        <w:rPr>
          <w:color w:val="auto"/>
        </w:rPr>
        <w:fldChar w:fldCharType="begin"/>
      </w:r>
      <w:r>
        <w:rPr>
          <w:color w:val="auto"/>
        </w:rPr>
        <w:instrText xml:space="preserve"> HYPERLINK \l "_Toc15396600" </w:instrText>
      </w:r>
      <w:r>
        <w:rPr>
          <w:color w:val="auto"/>
        </w:rPr>
        <w:fldChar w:fldCharType="separate"/>
      </w:r>
      <w:r>
        <w:rPr>
          <w:rStyle w:val="10"/>
          <w:rFonts w:hint="eastAsia" w:ascii="仿宋" w:hAnsi="仿宋" w:eastAsia="仿宋"/>
          <w:color w:val="auto"/>
          <w:sz w:val="28"/>
          <w:szCs w:val="28"/>
        </w:rPr>
        <w:t>一、基本职能及主要工作</w:t>
      </w:r>
      <w:r>
        <w:rPr>
          <w:rFonts w:ascii="仿宋" w:hAnsi="仿宋" w:eastAsia="仿宋"/>
          <w:color w:val="auto"/>
          <w:sz w:val="28"/>
          <w:szCs w:val="28"/>
        </w:rPr>
        <w:tab/>
      </w:r>
      <w:r>
        <w:rPr>
          <w:rFonts w:hint="eastAsia" w:ascii="仿宋" w:hAnsi="仿宋" w:eastAsia="仿宋"/>
          <w:color w:val="auto"/>
          <w:sz w:val="28"/>
          <w:szCs w:val="28"/>
          <w:lang w:val="en-US" w:eastAsia="zh-CN"/>
        </w:rPr>
        <w:t>2</w:t>
      </w:r>
      <w:r>
        <w:rPr>
          <w:rFonts w:hint="eastAsia" w:ascii="仿宋" w:hAnsi="仿宋" w:eastAsia="仿宋"/>
          <w:color w:val="auto"/>
          <w:sz w:val="28"/>
          <w:szCs w:val="28"/>
        </w:rPr>
        <w:fldChar w:fldCharType="end"/>
      </w:r>
      <w:r>
        <w:rPr>
          <w:rFonts w:hint="eastAsia" w:ascii="仿宋" w:hAnsi="仿宋" w:eastAsia="仿宋"/>
          <w:color w:val="auto"/>
          <w:sz w:val="28"/>
          <w:szCs w:val="28"/>
          <w:lang w:val="en-US" w:eastAsia="zh-CN"/>
        </w:rPr>
        <w:t>-3</w:t>
      </w:r>
    </w:p>
    <w:p>
      <w:pPr>
        <w:pStyle w:val="7"/>
        <w:pageBreakBefore w:val="0"/>
        <w:kinsoku/>
        <w:wordWrap/>
        <w:overflowPunct/>
        <w:topLinePunct w:val="0"/>
        <w:bidi w:val="0"/>
        <w:spacing w:line="240" w:lineRule="atLeast"/>
        <w:ind w:firstLine="442" w:firstLineChars="200"/>
        <w:textAlignment w:val="auto"/>
        <w:rPr>
          <w:rFonts w:hint="default" w:ascii="仿宋" w:hAnsi="仿宋" w:eastAsia="仿宋" w:cstheme="minorBidi"/>
          <w:color w:val="auto"/>
          <w:sz w:val="28"/>
          <w:szCs w:val="28"/>
          <w:lang w:val="en-US" w:eastAsia="zh-CN"/>
        </w:rPr>
      </w:pPr>
      <w:r>
        <w:rPr>
          <w:color w:val="auto"/>
        </w:rPr>
        <w:fldChar w:fldCharType="begin"/>
      </w:r>
      <w:r>
        <w:rPr>
          <w:color w:val="auto"/>
        </w:rPr>
        <w:instrText xml:space="preserve"> HYPERLINK \l "_Toc15396601" </w:instrText>
      </w:r>
      <w:r>
        <w:rPr>
          <w:color w:val="auto"/>
        </w:rPr>
        <w:fldChar w:fldCharType="separate"/>
      </w:r>
      <w:r>
        <w:rPr>
          <w:rStyle w:val="10"/>
          <w:rFonts w:hint="eastAsia" w:ascii="仿宋" w:hAnsi="仿宋" w:eastAsia="仿宋"/>
          <w:color w:val="auto"/>
          <w:sz w:val="28"/>
          <w:szCs w:val="28"/>
        </w:rPr>
        <w:t>二、</w:t>
      </w:r>
      <w:r>
        <w:rPr>
          <w:rStyle w:val="10"/>
          <w:rFonts w:hint="eastAsia" w:ascii="仿宋" w:hAnsi="仿宋" w:eastAsia="仿宋"/>
          <w:color w:val="auto"/>
          <w:sz w:val="28"/>
          <w:szCs w:val="28"/>
          <w:lang w:val="en-US" w:eastAsia="zh-CN"/>
        </w:rPr>
        <w:t>部门预算单位构成</w:t>
      </w:r>
      <w:r>
        <w:rPr>
          <w:rFonts w:ascii="仿宋" w:hAnsi="仿宋" w:eastAsia="仿宋"/>
          <w:color w:val="auto"/>
          <w:sz w:val="28"/>
          <w:szCs w:val="28"/>
        </w:rPr>
        <w:tab/>
      </w:r>
      <w:r>
        <w:rPr>
          <w:rFonts w:hint="eastAsia" w:ascii="仿宋" w:hAnsi="仿宋" w:eastAsia="仿宋"/>
          <w:color w:val="auto"/>
          <w:sz w:val="28"/>
          <w:szCs w:val="28"/>
          <w:lang w:val="en-US" w:eastAsia="zh-CN"/>
        </w:rPr>
        <w:t>3</w:t>
      </w:r>
      <w:r>
        <w:rPr>
          <w:rFonts w:ascii="仿宋" w:hAnsi="仿宋" w:eastAsia="仿宋"/>
          <w:color w:val="auto"/>
          <w:sz w:val="28"/>
          <w:szCs w:val="28"/>
        </w:rPr>
        <w:fldChar w:fldCharType="end"/>
      </w:r>
      <w:r>
        <w:rPr>
          <w:rFonts w:hint="eastAsia" w:ascii="仿宋" w:hAnsi="仿宋" w:eastAsia="仿宋"/>
          <w:color w:val="auto"/>
          <w:sz w:val="28"/>
          <w:szCs w:val="28"/>
          <w:lang w:val="en-US" w:eastAsia="zh-CN"/>
        </w:rPr>
        <w:t>-4</w:t>
      </w:r>
    </w:p>
    <w:p>
      <w:pPr>
        <w:pStyle w:val="7"/>
        <w:pageBreakBefore w:val="0"/>
        <w:kinsoku/>
        <w:wordWrap/>
        <w:overflowPunct/>
        <w:topLinePunct w:val="0"/>
        <w:bidi w:val="0"/>
        <w:spacing w:line="240" w:lineRule="atLeast"/>
        <w:ind w:firstLine="442" w:firstLineChars="200"/>
        <w:textAlignment w:val="auto"/>
        <w:rPr>
          <w:rFonts w:hint="default" w:ascii="仿宋" w:hAnsi="仿宋" w:eastAsia="仿宋" w:cstheme="minorBidi"/>
          <w:color w:val="auto"/>
          <w:sz w:val="28"/>
          <w:szCs w:val="28"/>
          <w:lang w:val="en-US" w:eastAsia="zh-CN"/>
        </w:rPr>
      </w:pPr>
      <w:r>
        <w:rPr>
          <w:color w:val="auto"/>
        </w:rPr>
        <w:fldChar w:fldCharType="begin"/>
      </w:r>
      <w:r>
        <w:rPr>
          <w:color w:val="auto"/>
        </w:rPr>
        <w:instrText xml:space="preserve"> HYPERLINK \l "_Toc15396605" </w:instrText>
      </w:r>
      <w:r>
        <w:rPr>
          <w:color w:val="auto"/>
        </w:rPr>
        <w:fldChar w:fldCharType="separate"/>
      </w:r>
      <w:r>
        <w:rPr>
          <w:rStyle w:val="10"/>
          <w:rFonts w:hint="eastAsia" w:ascii="仿宋" w:hAnsi="仿宋" w:eastAsia="仿宋" w:cstheme="majorBidi"/>
          <w:bCs/>
          <w:color w:val="auto"/>
          <w:sz w:val="28"/>
          <w:szCs w:val="28"/>
        </w:rPr>
        <w:t>三、</w:t>
      </w:r>
      <w:r>
        <w:rPr>
          <w:rStyle w:val="10"/>
          <w:rFonts w:hint="eastAsia" w:ascii="仿宋" w:hAnsi="仿宋" w:eastAsia="仿宋"/>
          <w:color w:val="auto"/>
          <w:sz w:val="28"/>
          <w:szCs w:val="28"/>
          <w:lang w:val="en-US" w:eastAsia="zh-CN"/>
        </w:rPr>
        <w:t>收支预算情况说明</w:t>
      </w:r>
      <w:r>
        <w:rPr>
          <w:rFonts w:ascii="仿宋" w:hAnsi="仿宋" w:eastAsia="仿宋"/>
          <w:color w:val="auto"/>
          <w:sz w:val="28"/>
          <w:szCs w:val="28"/>
        </w:rPr>
        <w:tab/>
      </w:r>
      <w:r>
        <w:rPr>
          <w:rFonts w:hint="eastAsia" w:ascii="仿宋" w:hAnsi="仿宋" w:eastAsia="仿宋"/>
          <w:color w:val="auto"/>
          <w:sz w:val="28"/>
          <w:szCs w:val="28"/>
          <w:lang w:val="en-US" w:eastAsia="zh-CN"/>
        </w:rPr>
        <w:t>4</w:t>
      </w:r>
      <w:r>
        <w:rPr>
          <w:rFonts w:ascii="仿宋" w:hAnsi="仿宋" w:eastAsia="仿宋"/>
          <w:color w:val="auto"/>
          <w:sz w:val="28"/>
          <w:szCs w:val="28"/>
        </w:rPr>
        <w:fldChar w:fldCharType="end"/>
      </w:r>
    </w:p>
    <w:p>
      <w:pPr>
        <w:pStyle w:val="7"/>
        <w:pageBreakBefore w:val="0"/>
        <w:kinsoku/>
        <w:wordWrap/>
        <w:overflowPunct/>
        <w:topLinePunct w:val="0"/>
        <w:bidi w:val="0"/>
        <w:spacing w:line="240" w:lineRule="atLeast"/>
        <w:ind w:firstLine="442" w:firstLineChars="200"/>
        <w:textAlignment w:val="auto"/>
        <w:rPr>
          <w:rFonts w:ascii="仿宋" w:hAnsi="仿宋" w:eastAsia="仿宋" w:cstheme="minorBidi"/>
          <w:color w:val="auto"/>
          <w:sz w:val="28"/>
          <w:szCs w:val="28"/>
        </w:rPr>
      </w:pPr>
      <w:r>
        <w:rPr>
          <w:color w:val="auto"/>
        </w:rPr>
        <w:fldChar w:fldCharType="begin"/>
      </w:r>
      <w:r>
        <w:rPr>
          <w:color w:val="auto"/>
        </w:rPr>
        <w:instrText xml:space="preserve"> HYPERLINK \l "_Toc15396606" </w:instrText>
      </w:r>
      <w:r>
        <w:rPr>
          <w:color w:val="auto"/>
        </w:rPr>
        <w:fldChar w:fldCharType="separate"/>
      </w:r>
      <w:r>
        <w:rPr>
          <w:rStyle w:val="10"/>
          <w:rFonts w:hint="eastAsia" w:ascii="仿宋" w:hAnsi="仿宋" w:eastAsia="仿宋"/>
          <w:color w:val="auto"/>
          <w:sz w:val="28"/>
          <w:szCs w:val="28"/>
        </w:rPr>
        <w:t>四、</w:t>
      </w:r>
      <w:r>
        <w:rPr>
          <w:rFonts w:hint="eastAsia" w:ascii="仿宋" w:hAnsi="仿宋" w:eastAsia="仿宋" w:cs="仿宋"/>
          <w:sz w:val="28"/>
          <w:szCs w:val="28"/>
          <w:lang w:val="en-US" w:eastAsia="zh-CN"/>
        </w:rPr>
        <w:t>财政拨款收支预算情况说明</w:t>
      </w:r>
      <w:r>
        <w:rPr>
          <w:rFonts w:ascii="仿宋" w:hAnsi="仿宋" w:eastAsia="仿宋"/>
          <w:color w:val="auto"/>
          <w:sz w:val="28"/>
          <w:szCs w:val="28"/>
        </w:rPr>
        <w:tab/>
      </w:r>
      <w:r>
        <w:rPr>
          <w:rFonts w:hint="eastAsia" w:ascii="仿宋" w:hAnsi="仿宋" w:eastAsia="仿宋"/>
          <w:color w:val="auto"/>
          <w:sz w:val="28"/>
          <w:szCs w:val="28"/>
          <w:lang w:val="en-US" w:eastAsia="zh-CN"/>
        </w:rPr>
        <w:t>4</w:t>
      </w:r>
      <w:r>
        <w:rPr>
          <w:rFonts w:ascii="仿宋" w:hAnsi="仿宋" w:eastAsia="仿宋"/>
          <w:color w:val="auto"/>
          <w:sz w:val="28"/>
          <w:szCs w:val="28"/>
        </w:rPr>
        <w:fldChar w:fldCharType="end"/>
      </w:r>
    </w:p>
    <w:p>
      <w:pPr>
        <w:pStyle w:val="7"/>
        <w:pageBreakBefore w:val="0"/>
        <w:kinsoku/>
        <w:wordWrap/>
        <w:overflowPunct/>
        <w:topLinePunct w:val="0"/>
        <w:bidi w:val="0"/>
        <w:spacing w:line="240" w:lineRule="atLeast"/>
        <w:ind w:firstLine="442" w:firstLineChars="200"/>
        <w:textAlignment w:val="auto"/>
        <w:rPr>
          <w:rFonts w:hint="default" w:ascii="仿宋" w:hAnsi="仿宋" w:eastAsia="仿宋" w:cstheme="minorBidi"/>
          <w:color w:val="auto"/>
          <w:sz w:val="28"/>
          <w:szCs w:val="28"/>
          <w:lang w:val="en-US" w:eastAsia="zh-CN"/>
        </w:rPr>
      </w:pPr>
      <w:r>
        <w:rPr>
          <w:color w:val="auto"/>
        </w:rPr>
        <w:fldChar w:fldCharType="begin"/>
      </w:r>
      <w:r>
        <w:rPr>
          <w:color w:val="auto"/>
        </w:rPr>
        <w:instrText xml:space="preserve"> HYPERLINK \l "_Toc15396607" </w:instrText>
      </w:r>
      <w:r>
        <w:rPr>
          <w:color w:val="auto"/>
        </w:rPr>
        <w:fldChar w:fldCharType="separate"/>
      </w:r>
      <w:r>
        <w:rPr>
          <w:rStyle w:val="10"/>
          <w:rFonts w:hint="eastAsia" w:ascii="仿宋" w:hAnsi="仿宋" w:eastAsia="仿宋"/>
          <w:color w:val="auto"/>
          <w:sz w:val="28"/>
          <w:szCs w:val="28"/>
        </w:rPr>
        <w:t>五、</w:t>
      </w:r>
      <w:r>
        <w:rPr>
          <w:rFonts w:hint="eastAsia" w:ascii="仿宋" w:hAnsi="仿宋" w:eastAsia="仿宋" w:cs="仿宋"/>
          <w:color w:val="auto"/>
          <w:sz w:val="28"/>
          <w:szCs w:val="28"/>
          <w:lang w:val="en-US" w:eastAsia="zh-CN"/>
        </w:rPr>
        <w:t>一般公共预算当年拨款情况说明</w:t>
      </w:r>
      <w:r>
        <w:rPr>
          <w:rFonts w:ascii="仿宋" w:hAnsi="仿宋" w:eastAsia="仿宋"/>
          <w:color w:val="auto"/>
          <w:sz w:val="28"/>
          <w:szCs w:val="28"/>
        </w:rPr>
        <w:tab/>
      </w:r>
      <w:r>
        <w:rPr>
          <w:rFonts w:hint="eastAsia" w:ascii="仿宋" w:hAnsi="仿宋" w:eastAsia="仿宋"/>
          <w:color w:val="auto"/>
          <w:sz w:val="28"/>
          <w:szCs w:val="28"/>
          <w:lang w:val="en-US" w:eastAsia="zh-CN"/>
        </w:rPr>
        <w:t>4</w:t>
      </w:r>
      <w:r>
        <w:rPr>
          <w:rFonts w:ascii="仿宋" w:hAnsi="仿宋" w:eastAsia="仿宋"/>
          <w:color w:val="auto"/>
          <w:sz w:val="28"/>
          <w:szCs w:val="28"/>
        </w:rPr>
        <w:fldChar w:fldCharType="end"/>
      </w:r>
      <w:r>
        <w:rPr>
          <w:rFonts w:hint="eastAsia" w:ascii="仿宋" w:hAnsi="仿宋" w:eastAsia="仿宋"/>
          <w:color w:val="auto"/>
          <w:sz w:val="28"/>
          <w:szCs w:val="28"/>
          <w:lang w:val="en-US" w:eastAsia="zh-CN"/>
        </w:rPr>
        <w:t>-6</w:t>
      </w:r>
    </w:p>
    <w:p>
      <w:pPr>
        <w:pStyle w:val="7"/>
        <w:pageBreakBefore w:val="0"/>
        <w:kinsoku/>
        <w:wordWrap/>
        <w:overflowPunct/>
        <w:topLinePunct w:val="0"/>
        <w:bidi w:val="0"/>
        <w:spacing w:line="240" w:lineRule="atLeast"/>
        <w:ind w:firstLine="562"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\l "_Toc15396608" </w:instrText>
      </w:r>
      <w:r>
        <w:rPr>
          <w:rFonts w:hint="eastAsia" w:ascii="仿宋" w:hAnsi="仿宋" w:eastAsia="仿宋" w:cs="仿宋"/>
          <w:color w:val="auto"/>
          <w:sz w:val="28"/>
          <w:szCs w:val="28"/>
        </w:rPr>
        <w:fldChar w:fldCharType="separate"/>
      </w:r>
      <w:r>
        <w:rPr>
          <w:rStyle w:val="10"/>
          <w:rFonts w:hint="eastAsia" w:ascii="仿宋" w:hAnsi="仿宋" w:eastAsia="仿宋" w:cs="仿宋"/>
          <w:color w:val="auto"/>
          <w:sz w:val="28"/>
          <w:szCs w:val="28"/>
        </w:rPr>
        <w:t>六、</w:t>
      </w:r>
      <w:r>
        <w:rPr>
          <w:rFonts w:hint="eastAsia" w:ascii="仿宋" w:hAnsi="仿宋" w:eastAsia="仿宋" w:cs="仿宋"/>
          <w:color w:val="auto"/>
          <w:sz w:val="28"/>
          <w:szCs w:val="28"/>
          <w:lang w:val="en-US" w:eastAsia="zh-CN"/>
        </w:rPr>
        <w:t>一般公共预算基本支出情况说明</w:t>
      </w:r>
      <w:r>
        <w:rPr>
          <w:rFonts w:hint="eastAsia" w:ascii="仿宋" w:hAnsi="仿宋" w:eastAsia="仿宋" w:cs="仿宋"/>
          <w:color w:val="auto"/>
          <w:sz w:val="28"/>
          <w:szCs w:val="28"/>
        </w:rPr>
        <w:tab/>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fldChar w:fldCharType="end"/>
      </w:r>
    </w:p>
    <w:p>
      <w:pPr>
        <w:pStyle w:val="7"/>
        <w:pageBreakBefore w:val="0"/>
        <w:kinsoku/>
        <w:wordWrap/>
        <w:overflowPunct/>
        <w:topLinePunct w:val="0"/>
        <w:bidi w:val="0"/>
        <w:spacing w:line="240" w:lineRule="atLeast"/>
        <w:ind w:firstLine="562"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\l "_Toc15396609" </w:instrText>
      </w:r>
      <w:r>
        <w:rPr>
          <w:rFonts w:hint="eastAsia" w:ascii="仿宋" w:hAnsi="仿宋" w:eastAsia="仿宋" w:cs="仿宋"/>
          <w:color w:val="auto"/>
          <w:sz w:val="28"/>
          <w:szCs w:val="28"/>
        </w:rPr>
        <w:fldChar w:fldCharType="separate"/>
      </w:r>
      <w:r>
        <w:rPr>
          <w:rStyle w:val="10"/>
          <w:rFonts w:hint="eastAsia" w:ascii="仿宋" w:hAnsi="仿宋" w:eastAsia="仿宋" w:cs="仿宋"/>
          <w:color w:val="auto"/>
          <w:sz w:val="28"/>
          <w:szCs w:val="28"/>
        </w:rPr>
        <w:t>七、</w:t>
      </w:r>
      <w:r>
        <w:rPr>
          <w:rFonts w:hint="eastAsia" w:ascii="仿宋" w:hAnsi="仿宋" w:eastAsia="仿宋" w:cs="仿宋"/>
          <w:color w:val="auto"/>
          <w:sz w:val="28"/>
          <w:szCs w:val="28"/>
          <w:lang w:val="en-US" w:eastAsia="zh-CN"/>
        </w:rPr>
        <w:t>“三公”经费财政拨款预算安排情况说明</w:t>
      </w:r>
      <w:r>
        <w:rPr>
          <w:rFonts w:hint="eastAsia" w:ascii="仿宋" w:hAnsi="仿宋" w:eastAsia="仿宋" w:cs="仿宋"/>
          <w:color w:val="auto"/>
          <w:sz w:val="28"/>
          <w:szCs w:val="28"/>
        </w:rPr>
        <w:tab/>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fldChar w:fldCharType="end"/>
      </w:r>
    </w:p>
    <w:p>
      <w:pPr>
        <w:numPr>
          <w:ilvl w:val="0"/>
          <w:numId w:val="0"/>
        </w:numPr>
        <w:ind w:right="0" w:rightChars="0" w:firstLine="1124" w:firstLineChars="400"/>
        <w:rPr>
          <w:rFonts w:hint="eastAsia" w:ascii="仿宋" w:hAnsi="仿宋" w:eastAsia="仿宋" w:cs="仿宋"/>
          <w:color w:val="auto"/>
          <w:sz w:val="28"/>
          <w:szCs w:val="28"/>
        </w:rPr>
      </w:pP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\l "_Toc15396610" </w:instrText>
      </w:r>
      <w:r>
        <w:rPr>
          <w:rFonts w:hint="eastAsia" w:ascii="仿宋" w:hAnsi="仿宋" w:eastAsia="仿宋" w:cs="仿宋"/>
          <w:color w:val="auto"/>
          <w:sz w:val="28"/>
          <w:szCs w:val="28"/>
        </w:rPr>
        <w:fldChar w:fldCharType="separate"/>
      </w:r>
      <w:r>
        <w:rPr>
          <w:rStyle w:val="10"/>
          <w:rFonts w:hint="eastAsia" w:ascii="仿宋" w:hAnsi="仿宋" w:eastAsia="仿宋" w:cs="仿宋"/>
          <w:color w:val="auto"/>
          <w:sz w:val="28"/>
          <w:szCs w:val="28"/>
        </w:rPr>
        <w:t>八、</w:t>
      </w:r>
      <w:r>
        <w:rPr>
          <w:rFonts w:hint="eastAsia" w:ascii="仿宋" w:hAnsi="仿宋" w:eastAsia="仿宋" w:cs="仿宋"/>
          <w:color w:val="auto"/>
          <w:sz w:val="28"/>
          <w:szCs w:val="28"/>
          <w:lang w:val="en-US" w:eastAsia="zh-CN"/>
        </w:rPr>
        <w:t>政府性基金预算支出情况说明</w:t>
      </w:r>
      <w:r>
        <w:rPr>
          <w:rFonts w:hint="eastAsia" w:ascii="仿宋" w:hAnsi="仿宋" w:eastAsia="仿宋" w:cs="仿宋"/>
          <w:color w:val="auto"/>
          <w:sz w:val="28"/>
          <w:szCs w:val="28"/>
        </w:rPr>
        <w:tab/>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fldChar w:fldCharType="end"/>
      </w:r>
    </w:p>
    <w:p>
      <w:pPr>
        <w:pStyle w:val="7"/>
        <w:pageBreakBefore w:val="0"/>
        <w:kinsoku/>
        <w:wordWrap/>
        <w:overflowPunct/>
        <w:topLinePunct w:val="0"/>
        <w:bidi w:val="0"/>
        <w:spacing w:line="240" w:lineRule="atLeast"/>
        <w:ind w:firstLine="562"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\l "_Toc15396611" </w:instrText>
      </w:r>
      <w:r>
        <w:rPr>
          <w:rFonts w:hint="eastAsia" w:ascii="仿宋" w:hAnsi="仿宋" w:eastAsia="仿宋" w:cs="仿宋"/>
          <w:color w:val="auto"/>
          <w:sz w:val="28"/>
          <w:szCs w:val="28"/>
        </w:rPr>
        <w:fldChar w:fldCharType="separate"/>
      </w:r>
      <w:r>
        <w:rPr>
          <w:rStyle w:val="10"/>
          <w:rFonts w:hint="eastAsia" w:ascii="仿宋" w:hAnsi="仿宋" w:eastAsia="仿宋" w:cs="仿宋"/>
          <w:bCs/>
          <w:color w:val="auto"/>
          <w:sz w:val="28"/>
          <w:szCs w:val="28"/>
        </w:rPr>
        <w:t>九、</w:t>
      </w:r>
      <w:r>
        <w:rPr>
          <w:rStyle w:val="10"/>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其他重要事项的情况说明</w:t>
      </w:r>
      <w:r>
        <w:rPr>
          <w:rFonts w:hint="eastAsia" w:ascii="仿宋" w:hAnsi="仿宋" w:eastAsia="仿宋" w:cs="仿宋"/>
          <w:color w:val="auto"/>
          <w:sz w:val="28"/>
          <w:szCs w:val="28"/>
        </w:rPr>
        <w:tab/>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lang w:val="en-US" w:eastAsia="zh-CN"/>
        </w:rPr>
        <w:t>-7</w:t>
      </w:r>
    </w:p>
    <w:p>
      <w:pPr>
        <w:pStyle w:val="7"/>
        <w:pageBreakBefore w:val="0"/>
        <w:kinsoku/>
        <w:wordWrap/>
        <w:overflowPunct/>
        <w:topLinePunct w:val="0"/>
        <w:bidi w:val="0"/>
        <w:spacing w:line="240" w:lineRule="atLeast"/>
        <w:ind w:firstLine="562"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\l "_Toc15396612" </w:instrText>
      </w:r>
      <w:r>
        <w:rPr>
          <w:rFonts w:hint="eastAsia" w:ascii="仿宋" w:hAnsi="仿宋" w:eastAsia="仿宋" w:cs="仿宋"/>
          <w:color w:val="auto"/>
          <w:sz w:val="28"/>
          <w:szCs w:val="28"/>
        </w:rPr>
        <w:fldChar w:fldCharType="separate"/>
      </w:r>
      <w:r>
        <w:rPr>
          <w:rStyle w:val="10"/>
          <w:rFonts w:hint="eastAsia" w:ascii="仿宋" w:hAnsi="仿宋" w:eastAsia="仿宋" w:cs="仿宋"/>
          <w:color w:val="auto"/>
          <w:sz w:val="28"/>
          <w:szCs w:val="28"/>
        </w:rPr>
        <w:t>十</w:t>
      </w:r>
      <w:r>
        <w:rPr>
          <w:rStyle w:val="10"/>
          <w:rFonts w:hint="eastAsia" w:ascii="仿宋" w:hAnsi="仿宋" w:eastAsia="仿宋" w:cs="仿宋"/>
          <w:bCs/>
          <w:color w:val="auto"/>
          <w:sz w:val="28"/>
          <w:szCs w:val="28"/>
        </w:rPr>
        <w:t>、</w:t>
      </w:r>
      <w:r>
        <w:rPr>
          <w:rFonts w:hint="eastAsia" w:ascii="仿宋" w:hAnsi="仿宋" w:eastAsia="仿宋" w:cs="仿宋"/>
          <w:color w:val="auto"/>
          <w:sz w:val="28"/>
          <w:szCs w:val="28"/>
          <w:lang w:val="en-US" w:eastAsia="zh-CN"/>
        </w:rPr>
        <w:t>名词解释</w:t>
      </w:r>
      <w:r>
        <w:rPr>
          <w:rFonts w:hint="eastAsia" w:ascii="仿宋" w:hAnsi="仿宋" w:eastAsia="仿宋" w:cs="仿宋"/>
          <w:color w:val="auto"/>
          <w:sz w:val="28"/>
          <w:szCs w:val="28"/>
        </w:rPr>
        <w:tab/>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lang w:val="en-US" w:eastAsia="zh-CN"/>
        </w:rPr>
        <w:t>-8</w:t>
      </w:r>
    </w:p>
    <w:p>
      <w:pPr>
        <w:ind w:firstLine="843" w:firstLineChars="300"/>
        <w:rPr>
          <w:rFonts w:hint="default"/>
          <w:color w:val="auto"/>
          <w:lang w:val="en-US" w:eastAsia="zh-CN"/>
        </w:rPr>
      </w:pPr>
      <w:r>
        <w:rPr>
          <w:rFonts w:hint="eastAsia" w:ascii="仿宋" w:hAnsi="仿宋" w:eastAsia="仿宋" w:cs="仿宋"/>
          <w:color w:val="auto"/>
          <w:sz w:val="28"/>
          <w:szCs w:val="28"/>
          <w:lang w:val="en-US" w:eastAsia="zh-CN"/>
        </w:rPr>
        <w:t>十一</w:t>
      </w:r>
      <w:r>
        <w:rPr>
          <w:rStyle w:val="10"/>
          <w:rFonts w:hint="eastAsia" w:ascii="仿宋" w:hAnsi="仿宋" w:eastAsia="仿宋" w:cs="仿宋"/>
          <w:bCs/>
          <w:color w:val="auto"/>
          <w:sz w:val="28"/>
          <w:szCs w:val="28"/>
        </w:rPr>
        <w:t>、</w:t>
      </w:r>
      <w:r>
        <w:rPr>
          <w:rStyle w:val="10"/>
          <w:rFonts w:hint="eastAsia" w:ascii="仿宋" w:hAnsi="仿宋" w:eastAsia="仿宋" w:cs="仿宋"/>
          <w:bCs/>
          <w:color w:val="auto"/>
          <w:sz w:val="28"/>
          <w:szCs w:val="28"/>
          <w:lang w:val="en-US" w:eastAsia="zh-CN"/>
        </w:rPr>
        <w:t>附表.......................................8</w:t>
      </w:r>
    </w:p>
    <w:p>
      <w:pPr>
        <w:pStyle w:val="7"/>
        <w:pageBreakBefore w:val="0"/>
        <w:kinsoku/>
        <w:wordWrap/>
        <w:overflowPunct/>
        <w:topLinePunct w:val="0"/>
        <w:bidi w:val="0"/>
        <w:spacing w:line="240" w:lineRule="atLeast"/>
        <w:ind w:firstLine="562" w:firstLineChars="200"/>
        <w:textAlignment w:val="auto"/>
        <w:rPr>
          <w:rFonts w:ascii="仿宋" w:hAnsi="仿宋" w:eastAsia="仿宋" w:cstheme="minorBidi"/>
          <w:color w:val="auto"/>
          <w:sz w:val="28"/>
          <w:szCs w:val="28"/>
        </w:rPr>
      </w:pPr>
    </w:p>
    <w:p>
      <w:pPr>
        <w:pStyle w:val="2"/>
        <w:spacing w:line="712" w:lineRule="exact"/>
        <w:ind w:left="0" w:leftChars="0" w:firstLine="0" w:firstLineChars="0"/>
        <w:jc w:val="center"/>
        <w:rPr>
          <w:rFonts w:hint="default"/>
          <w:color w:val="auto"/>
          <w:lang w:val="en-US"/>
        </w:rPr>
      </w:pPr>
    </w:p>
    <w:p>
      <w:pPr>
        <w:rPr>
          <w:rFonts w:hint="default"/>
          <w:color w:val="auto"/>
          <w:lang w:val="en-US"/>
        </w:rPr>
      </w:pPr>
    </w:p>
    <w:p>
      <w:pPr>
        <w:rPr>
          <w:rFonts w:hint="default"/>
          <w:color w:val="auto"/>
          <w:lang w:val="en-US"/>
        </w:rPr>
      </w:pPr>
    </w:p>
    <w:p>
      <w:pPr>
        <w:rPr>
          <w:rFonts w:hint="default"/>
          <w:color w:val="auto"/>
          <w:lang w:val="en-US"/>
        </w:rPr>
      </w:pPr>
    </w:p>
    <w:p>
      <w:pPr>
        <w:pStyle w:val="2"/>
        <w:spacing w:line="712" w:lineRule="exact"/>
        <w:ind w:left="0" w:leftChars="0" w:firstLine="0" w:firstLineChars="0"/>
        <w:jc w:val="center"/>
        <w:rPr>
          <w:rFonts w:hint="eastAsia"/>
          <w:lang w:val="en-US"/>
        </w:rPr>
      </w:pPr>
      <w:r>
        <w:rPr>
          <w:rFonts w:hint="default"/>
          <w:lang w:val="en-US"/>
        </w:rPr>
        <w:t xml:space="preserve">  </w:t>
      </w:r>
      <w:r>
        <w:rPr>
          <w:rFonts w:hint="eastAsia"/>
          <w:lang w:val="en-US"/>
        </w:rPr>
        <w:t>关于202</w:t>
      </w:r>
      <w:r>
        <w:rPr>
          <w:rFonts w:hint="eastAsia"/>
          <w:lang w:val="en-US" w:eastAsia="zh-CN"/>
        </w:rPr>
        <w:t>1</w:t>
      </w:r>
      <w:r>
        <w:rPr>
          <w:rFonts w:hint="eastAsia"/>
          <w:lang w:val="en-US"/>
        </w:rPr>
        <w:t>年部门预算</w:t>
      </w:r>
    </w:p>
    <w:p>
      <w:pPr>
        <w:pStyle w:val="2"/>
        <w:spacing w:line="712" w:lineRule="exact"/>
        <w:ind w:left="0" w:leftChars="0" w:firstLine="0" w:firstLineChars="0"/>
        <w:jc w:val="center"/>
        <w:rPr>
          <w:rFonts w:hint="eastAsia"/>
          <w:lang w:val="en-US"/>
        </w:rPr>
      </w:pPr>
      <w:r>
        <w:rPr>
          <w:rFonts w:hint="eastAsia"/>
          <w:lang w:val="en-US"/>
        </w:rPr>
        <w:t>编制的说明</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xml:space="preserve"> </w:t>
      </w:r>
    </w:p>
    <w:p>
      <w:pPr>
        <w:numPr>
          <w:ilvl w:val="0"/>
          <w:numId w:val="0"/>
        </w:numPr>
        <w:ind w:leftChars="200" w:right="0" w:rightChars="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一、基本职能及主要工作</w:t>
      </w:r>
    </w:p>
    <w:p>
      <w:pPr>
        <w:numPr>
          <w:ilvl w:val="0"/>
          <w:numId w:val="0"/>
        </w:numPr>
        <w:ind w:right="0" w:rightChars="0" w:firstLine="662" w:firstLineChars="200"/>
        <w:rPr>
          <w:rFonts w:hint="eastAsia" w:ascii="方正楷体_GBK" w:hAnsi="方正楷体_GBK" w:eastAsia="方正楷体_GBK" w:cs="方正楷体_GBK"/>
          <w:b/>
          <w:bCs/>
          <w:sz w:val="33"/>
          <w:szCs w:val="33"/>
          <w:lang w:eastAsia="zh-CN"/>
        </w:rPr>
      </w:pPr>
      <w:r>
        <w:rPr>
          <w:rFonts w:hint="eastAsia" w:ascii="方正楷体_GBK" w:hAnsi="方正楷体_GBK" w:eastAsia="方正楷体_GBK" w:cs="方正楷体_GBK"/>
          <w:b/>
          <w:bCs/>
          <w:sz w:val="33"/>
          <w:szCs w:val="33"/>
          <w:lang w:val="en-US" w:eastAsia="zh-CN"/>
        </w:rPr>
        <w:t>（一）</w:t>
      </w:r>
      <w:r>
        <w:rPr>
          <w:rFonts w:hint="eastAsia" w:ascii="方正楷体_GBK" w:hAnsi="方正楷体_GBK" w:eastAsia="方正楷体_GBK" w:cs="方正楷体_GBK"/>
          <w:b/>
          <w:bCs/>
          <w:sz w:val="33"/>
          <w:szCs w:val="33"/>
          <w:lang w:eastAsia="zh-CN"/>
        </w:rPr>
        <w:t>胜利小学校职能简介</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胜利小学</w:t>
      </w:r>
      <w:r>
        <w:rPr>
          <w:rFonts w:hint="eastAsia" w:ascii="方正仿宋_GBK" w:hAnsi="方正仿宋_GBK" w:eastAsia="方正仿宋_GBK" w:cs="方正仿宋_GBK"/>
          <w:b w:val="0"/>
          <w:bCs w:val="0"/>
          <w:sz w:val="33"/>
          <w:szCs w:val="33"/>
          <w:lang w:eastAsia="zh-CN"/>
        </w:rPr>
        <w:t>为全日制义务教育学校，基本职能是实施小学义务教育，促进基础教育发展。</w:t>
      </w:r>
    </w:p>
    <w:p>
      <w:pPr>
        <w:numPr>
          <w:ilvl w:val="0"/>
          <w:numId w:val="0"/>
        </w:numPr>
        <w:ind w:right="0" w:rightChars="0" w:firstLine="662" w:firstLineChars="200"/>
        <w:rPr>
          <w:rFonts w:hint="eastAsia" w:ascii="方正楷体_GBK" w:hAnsi="方正楷体_GBK" w:eastAsia="方正楷体_GBK" w:cs="方正楷体_GBK"/>
          <w:b/>
          <w:bCs/>
          <w:sz w:val="33"/>
          <w:szCs w:val="33"/>
          <w:lang w:val="en-US" w:eastAsia="zh-CN"/>
        </w:rPr>
      </w:pPr>
      <w:r>
        <w:rPr>
          <w:rFonts w:hint="eastAsia" w:ascii="方正楷体_GBK" w:hAnsi="方正楷体_GBK" w:eastAsia="方正楷体_GBK" w:cs="方正楷体_GBK"/>
          <w:b/>
          <w:bCs/>
          <w:sz w:val="33"/>
          <w:szCs w:val="33"/>
          <w:lang w:val="en-US" w:eastAsia="zh-CN"/>
        </w:rPr>
        <w:t>（二）胜利小学校2021年重点工作</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1.防疫工作</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学校成立防疫工作领导小组，负责学校的防疫工作。</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w:t>
      </w:r>
      <w:r>
        <w:rPr>
          <w:rFonts w:hint="eastAsia" w:ascii="方正仿宋_GBK" w:hAnsi="方正仿宋_GBK" w:eastAsia="方正仿宋_GBK" w:cs="方正仿宋_GBK"/>
          <w:b w:val="0"/>
          <w:bCs w:val="0"/>
          <w:sz w:val="33"/>
          <w:szCs w:val="33"/>
          <w:lang w:eastAsia="zh-CN"/>
        </w:rPr>
        <w:t>施行封闭式管理，坚持对进出师生进行体温监测，非本校师生及职工不能进入校园。</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w:t>
      </w:r>
      <w:r>
        <w:rPr>
          <w:rFonts w:hint="eastAsia" w:cs="方正仿宋_GBK"/>
          <w:b/>
          <w:bCs/>
          <w:sz w:val="33"/>
          <w:szCs w:val="33"/>
          <w:lang w:val="en-US" w:eastAsia="zh-CN"/>
        </w:rPr>
        <w:t>2</w:t>
      </w:r>
      <w:r>
        <w:rPr>
          <w:rFonts w:hint="eastAsia" w:ascii="方正仿宋_GBK" w:hAnsi="方正仿宋_GBK" w:eastAsia="方正仿宋_GBK" w:cs="方正仿宋_GBK"/>
          <w:b/>
          <w:bCs/>
          <w:sz w:val="33"/>
          <w:szCs w:val="33"/>
          <w:lang w:eastAsia="zh-CN"/>
        </w:rPr>
        <w:t>）</w:t>
      </w:r>
      <w:r>
        <w:rPr>
          <w:rFonts w:hint="eastAsia" w:ascii="方正仿宋_GBK" w:hAnsi="方正仿宋_GBK" w:eastAsia="方正仿宋_GBK" w:cs="方正仿宋_GBK"/>
          <w:b w:val="0"/>
          <w:bCs w:val="0"/>
          <w:sz w:val="33"/>
          <w:szCs w:val="33"/>
          <w:lang w:eastAsia="zh-CN"/>
        </w:rPr>
        <w:t>坚持对学生进行晨检和午检，并做好记录，对体温异常的学生按预定程序处理。</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w:t>
      </w:r>
      <w:r>
        <w:rPr>
          <w:rFonts w:hint="eastAsia" w:cs="方正仿宋_GBK"/>
          <w:b/>
          <w:bCs/>
          <w:sz w:val="33"/>
          <w:szCs w:val="33"/>
          <w:lang w:val="en-US" w:eastAsia="zh-CN"/>
        </w:rPr>
        <w:t>3</w:t>
      </w:r>
      <w:r>
        <w:rPr>
          <w:rFonts w:hint="eastAsia" w:ascii="方正仿宋_GBK" w:hAnsi="方正仿宋_GBK" w:eastAsia="方正仿宋_GBK" w:cs="方正仿宋_GBK"/>
          <w:b/>
          <w:bCs/>
          <w:sz w:val="33"/>
          <w:szCs w:val="33"/>
          <w:lang w:eastAsia="zh-CN"/>
        </w:rPr>
        <w:t>）</w:t>
      </w:r>
      <w:r>
        <w:rPr>
          <w:rFonts w:hint="eastAsia" w:ascii="方正仿宋_GBK" w:hAnsi="方正仿宋_GBK" w:eastAsia="方正仿宋_GBK" w:cs="方正仿宋_GBK"/>
          <w:b w:val="0"/>
          <w:bCs w:val="0"/>
          <w:sz w:val="33"/>
          <w:szCs w:val="33"/>
          <w:lang w:eastAsia="zh-CN"/>
        </w:rPr>
        <w:t>每天坚持对校园进行全方位消毒，并做好记录。</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w:t>
      </w:r>
      <w:r>
        <w:rPr>
          <w:rFonts w:hint="eastAsia" w:cs="方正仿宋_GBK"/>
          <w:b/>
          <w:bCs/>
          <w:sz w:val="33"/>
          <w:szCs w:val="33"/>
          <w:lang w:val="en-US" w:eastAsia="zh-CN"/>
        </w:rPr>
        <w:t>4</w:t>
      </w:r>
      <w:r>
        <w:rPr>
          <w:rFonts w:hint="eastAsia" w:ascii="方正仿宋_GBK" w:hAnsi="方正仿宋_GBK" w:eastAsia="方正仿宋_GBK" w:cs="方正仿宋_GBK"/>
          <w:b/>
          <w:bCs/>
          <w:sz w:val="33"/>
          <w:szCs w:val="33"/>
          <w:lang w:eastAsia="zh-CN"/>
        </w:rPr>
        <w:t>）</w:t>
      </w:r>
      <w:r>
        <w:rPr>
          <w:rFonts w:hint="eastAsia" w:ascii="方正仿宋_GBK" w:hAnsi="方正仿宋_GBK" w:eastAsia="方正仿宋_GBK" w:cs="方正仿宋_GBK"/>
          <w:b w:val="0"/>
          <w:bCs w:val="0"/>
          <w:sz w:val="33"/>
          <w:szCs w:val="33"/>
          <w:lang w:eastAsia="zh-CN"/>
        </w:rPr>
        <w:t>加强对学生进行防疫知识教育，教育他们戴口罩，少出门，不聚集，多通风，勤洗手。</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2.教学工作</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w:t>
      </w:r>
      <w:r>
        <w:rPr>
          <w:rFonts w:hint="eastAsia" w:ascii="方正仿宋_GBK" w:hAnsi="方正仿宋_GBK" w:eastAsia="方正仿宋_GBK" w:cs="方正仿宋_GBK"/>
          <w:b w:val="0"/>
          <w:bCs w:val="0"/>
          <w:sz w:val="33"/>
          <w:szCs w:val="33"/>
          <w:lang w:eastAsia="zh-CN"/>
        </w:rPr>
        <w:t>深化课程改革，继续实施“新课程改革”.课堂教学的改革：强化理论研究，实现理论水平的提高。添置教学设施，实现课改条件的改变。转变思想观念，实现教学模式的转变。</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w:t>
      </w:r>
      <w:r>
        <w:rPr>
          <w:rFonts w:hint="eastAsia" w:ascii="方正仿宋_GBK" w:hAnsi="方正仿宋_GBK" w:eastAsia="方正仿宋_GBK" w:cs="方正仿宋_GBK"/>
          <w:b w:val="0"/>
          <w:bCs w:val="0"/>
          <w:sz w:val="33"/>
          <w:szCs w:val="33"/>
          <w:lang w:eastAsia="zh-CN"/>
        </w:rPr>
        <w:t>大课间活动的规范：精选活动内容，力求内容健康、积极。精排活动节目，力求动作规范、娴熟。做到适时更换，力求形式多样、有趣。</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3.艺体工作</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w:t>
      </w:r>
      <w:r>
        <w:rPr>
          <w:rFonts w:hint="eastAsia" w:ascii="方正仿宋_GBK" w:hAnsi="方正仿宋_GBK" w:eastAsia="方正仿宋_GBK" w:cs="方正仿宋_GBK"/>
          <w:b w:val="0"/>
          <w:bCs w:val="0"/>
          <w:sz w:val="33"/>
          <w:szCs w:val="33"/>
          <w:lang w:eastAsia="zh-CN"/>
        </w:rPr>
        <w:t>学校要按照部颁计划开齐开足体育课程，认真开展大课间活动和“3+N”活动，确保中小学生每人每天有一小时体育活动；积极推行《阳光体育奖章制度》，激励广大学生争当阳光体育奖章获得者；积极筹备胜利小学学生篮球运动会。</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w:t>
      </w:r>
      <w:r>
        <w:rPr>
          <w:rFonts w:hint="eastAsia" w:cs="方正仿宋_GBK"/>
          <w:b/>
          <w:bCs/>
          <w:sz w:val="33"/>
          <w:szCs w:val="33"/>
          <w:lang w:val="en-US" w:eastAsia="zh-CN"/>
        </w:rPr>
        <w:t>2</w:t>
      </w:r>
      <w:r>
        <w:rPr>
          <w:rFonts w:hint="eastAsia" w:ascii="方正仿宋_GBK" w:hAnsi="方正仿宋_GBK" w:eastAsia="方正仿宋_GBK" w:cs="方正仿宋_GBK"/>
          <w:b/>
          <w:bCs/>
          <w:sz w:val="33"/>
          <w:szCs w:val="33"/>
          <w:lang w:eastAsia="zh-CN"/>
        </w:rPr>
        <w:t>）</w:t>
      </w:r>
      <w:r>
        <w:rPr>
          <w:rFonts w:hint="eastAsia" w:ascii="方正仿宋_GBK" w:hAnsi="方正仿宋_GBK" w:eastAsia="方正仿宋_GBK" w:cs="方正仿宋_GBK"/>
          <w:b w:val="0"/>
          <w:bCs w:val="0"/>
          <w:sz w:val="33"/>
          <w:szCs w:val="33"/>
          <w:lang w:eastAsia="zh-CN"/>
        </w:rPr>
        <w:t>加强学校艺术教育，开足艺术教育课程，经常开展艺术教育活动，丰富学生校园生活，提高学生艺术的欣赏水平和鉴赏能力。</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w:t>
      </w:r>
      <w:r>
        <w:rPr>
          <w:rFonts w:hint="eastAsia" w:cs="方正仿宋_GBK"/>
          <w:b/>
          <w:bCs/>
          <w:sz w:val="33"/>
          <w:szCs w:val="33"/>
          <w:lang w:val="en-US" w:eastAsia="zh-CN"/>
        </w:rPr>
        <w:t>3</w:t>
      </w:r>
      <w:r>
        <w:rPr>
          <w:rFonts w:hint="eastAsia" w:ascii="方正仿宋_GBK" w:hAnsi="方正仿宋_GBK" w:eastAsia="方正仿宋_GBK" w:cs="方正仿宋_GBK"/>
          <w:b/>
          <w:bCs/>
          <w:sz w:val="33"/>
          <w:szCs w:val="33"/>
          <w:lang w:eastAsia="zh-CN"/>
        </w:rPr>
        <w:t>）活动安排</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阳光体育活动：认真执行国家《体育与健康课程标准》，保质保量上好体育课；全面推行大课间体育活动，每天上午统一安排30分钟的大课间体育锻炼，并开展以学生为主体的小型多样的体育活动，营造班班有锻炼，人人有项目。</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二、部门预算单位构成</w:t>
      </w:r>
    </w:p>
    <w:p>
      <w:pPr>
        <w:numPr>
          <w:ilvl w:val="0"/>
          <w:numId w:val="0"/>
        </w:numPr>
        <w:ind w:right="0" w:rightChars="0" w:firstLine="662" w:firstLineChars="200"/>
        <w:rPr>
          <w:rFonts w:hint="eastAsia" w:cs="方正仿宋_GBK"/>
          <w:b w:val="0"/>
          <w:bCs w:val="0"/>
          <w:sz w:val="33"/>
          <w:szCs w:val="33"/>
          <w:lang w:eastAsia="zh-CN"/>
        </w:rPr>
      </w:pPr>
      <w:r>
        <w:rPr>
          <w:rFonts w:hint="eastAsia" w:cs="方正仿宋_GBK"/>
          <w:b w:val="0"/>
          <w:bCs w:val="0"/>
          <w:sz w:val="33"/>
          <w:szCs w:val="33"/>
          <w:lang w:eastAsia="zh-CN"/>
        </w:rPr>
        <w:t>胜利小学预算下属1个预算单位，有在职教职员工33人，其中专任教师3</w:t>
      </w:r>
      <w:r>
        <w:rPr>
          <w:rFonts w:hint="eastAsia" w:cs="方正仿宋_GBK"/>
          <w:b w:val="0"/>
          <w:bCs w:val="0"/>
          <w:sz w:val="33"/>
          <w:szCs w:val="33"/>
          <w:lang w:val="en-US" w:eastAsia="zh-CN"/>
        </w:rPr>
        <w:t>2</w:t>
      </w:r>
      <w:r>
        <w:rPr>
          <w:rFonts w:hint="eastAsia" w:cs="方正仿宋_GBK"/>
          <w:b w:val="0"/>
          <w:bCs w:val="0"/>
          <w:sz w:val="33"/>
          <w:szCs w:val="33"/>
          <w:lang w:eastAsia="zh-CN"/>
        </w:rPr>
        <w:t>人；</w:t>
      </w:r>
      <w:r>
        <w:rPr>
          <w:rFonts w:hint="eastAsia" w:ascii="仿宋_GB2312" w:hAnsi="仿宋_GB2312" w:eastAsia="仿宋_GB2312" w:cs="仿宋_GB2312"/>
          <w:sz w:val="33"/>
          <w:szCs w:val="33"/>
        </w:rPr>
        <w:t>工勤人员</w:t>
      </w:r>
      <w:r>
        <w:rPr>
          <w:rFonts w:hint="eastAsia" w:ascii="仿宋_GB2312" w:hAnsi="仿宋_GB2312" w:eastAsia="仿宋_GB2312" w:cs="仿宋_GB2312"/>
          <w:sz w:val="33"/>
          <w:szCs w:val="33"/>
          <w:lang w:val="en-US" w:eastAsia="zh-CN"/>
        </w:rPr>
        <w:t>1</w:t>
      </w:r>
      <w:r>
        <w:rPr>
          <w:rFonts w:hint="eastAsia" w:ascii="仿宋_GB2312" w:hAnsi="仿宋_GB2312" w:eastAsia="仿宋_GB2312" w:cs="仿宋_GB2312"/>
          <w:sz w:val="33"/>
          <w:szCs w:val="33"/>
        </w:rPr>
        <w:t>人</w:t>
      </w:r>
      <w:r>
        <w:rPr>
          <w:rFonts w:hint="eastAsia" w:cs="方正仿宋_GBK"/>
          <w:b w:val="0"/>
          <w:bCs w:val="0"/>
          <w:sz w:val="33"/>
          <w:szCs w:val="33"/>
          <w:lang w:eastAsia="zh-CN"/>
        </w:rPr>
        <w:t>有退休教师26人(其中退养民师1人）；现有教学班12个，在校学生人数5</w:t>
      </w:r>
      <w:r>
        <w:rPr>
          <w:rFonts w:hint="eastAsia" w:cs="方正仿宋_GBK"/>
          <w:b w:val="0"/>
          <w:bCs w:val="0"/>
          <w:sz w:val="33"/>
          <w:szCs w:val="33"/>
          <w:lang w:val="en-US" w:eastAsia="zh-CN"/>
        </w:rPr>
        <w:t>15</w:t>
      </w:r>
      <w:r>
        <w:rPr>
          <w:rFonts w:hint="eastAsia" w:cs="方正仿宋_GBK"/>
          <w:b w:val="0"/>
          <w:bCs w:val="0"/>
          <w:sz w:val="33"/>
          <w:szCs w:val="33"/>
          <w:lang w:eastAsia="zh-CN"/>
        </w:rPr>
        <w:t>人。本校设有行政办、后勤办、安办。</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三、收支预算情况说明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按照综合预算的原则，胜利小学所有收入和支出均纳入部门预算管理。收入主要包括：一般公共预算拨款收入；支出包括：教育支出、社会保障和就业支出、医疗卫生与计划生育支出、住房保障支出。胜利小学</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收支总预算353.1</w:t>
      </w:r>
      <w:r>
        <w:rPr>
          <w:rFonts w:hint="eastAsia" w:cs="方正仿宋_GBK"/>
          <w:b w:val="0"/>
          <w:bCs w:val="0"/>
          <w:sz w:val="33"/>
          <w:szCs w:val="33"/>
          <w:lang w:val="en-US" w:eastAsia="zh-CN"/>
        </w:rPr>
        <w:t>9</w:t>
      </w:r>
      <w:r>
        <w:rPr>
          <w:rFonts w:hint="eastAsia" w:ascii="方正仿宋_GBK" w:hAnsi="方正仿宋_GBK" w:eastAsia="方正仿宋_GBK" w:cs="方正仿宋_GBK"/>
          <w:b w:val="0"/>
          <w:bCs w:val="0"/>
          <w:sz w:val="33"/>
          <w:szCs w:val="33"/>
          <w:lang w:eastAsia="zh-CN"/>
        </w:rPr>
        <w:t>万元。</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（一）收入预算情况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胜利小学</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收入预算</w:t>
      </w:r>
      <w:r>
        <w:rPr>
          <w:rFonts w:hint="eastAsia" w:cs="方正仿宋_GBK"/>
          <w:b w:val="0"/>
          <w:bCs w:val="0"/>
          <w:sz w:val="33"/>
          <w:szCs w:val="33"/>
          <w:lang w:val="en-US" w:eastAsia="zh-CN"/>
        </w:rPr>
        <w:t>377.41</w:t>
      </w:r>
      <w:r>
        <w:rPr>
          <w:rFonts w:hint="eastAsia" w:ascii="方正仿宋_GBK" w:hAnsi="方正仿宋_GBK" w:eastAsia="方正仿宋_GBK" w:cs="方正仿宋_GBK"/>
          <w:b w:val="0"/>
          <w:bCs w:val="0"/>
          <w:sz w:val="33"/>
          <w:szCs w:val="33"/>
          <w:lang w:eastAsia="zh-CN"/>
        </w:rPr>
        <w:t>万元，其中：一般公共预算拨款收入</w:t>
      </w:r>
      <w:r>
        <w:rPr>
          <w:rFonts w:hint="eastAsia" w:cs="方正仿宋_GBK"/>
          <w:b w:val="0"/>
          <w:bCs w:val="0"/>
          <w:sz w:val="33"/>
          <w:szCs w:val="33"/>
          <w:lang w:val="en-US" w:eastAsia="zh-CN"/>
        </w:rPr>
        <w:t>377.41</w:t>
      </w:r>
      <w:r>
        <w:rPr>
          <w:rFonts w:hint="eastAsia" w:ascii="方正仿宋_GBK" w:hAnsi="方正仿宋_GBK" w:eastAsia="方正仿宋_GBK" w:cs="方正仿宋_GBK"/>
          <w:b w:val="0"/>
          <w:bCs w:val="0"/>
          <w:sz w:val="33"/>
          <w:szCs w:val="33"/>
          <w:lang w:eastAsia="zh-CN"/>
        </w:rPr>
        <w:t>万元，占100%。</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（二）支出预算情况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胜利小学</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支出预算</w:t>
      </w:r>
      <w:r>
        <w:rPr>
          <w:rFonts w:hint="eastAsia" w:cs="方正仿宋_GBK"/>
          <w:b w:val="0"/>
          <w:bCs w:val="0"/>
          <w:sz w:val="33"/>
          <w:szCs w:val="33"/>
          <w:lang w:val="en-US" w:eastAsia="zh-CN"/>
        </w:rPr>
        <w:t>377.41</w:t>
      </w:r>
      <w:r>
        <w:rPr>
          <w:rFonts w:hint="eastAsia" w:ascii="方正仿宋_GBK" w:hAnsi="方正仿宋_GBK" w:eastAsia="方正仿宋_GBK" w:cs="方正仿宋_GBK"/>
          <w:b w:val="0"/>
          <w:bCs w:val="0"/>
          <w:sz w:val="33"/>
          <w:szCs w:val="33"/>
          <w:lang w:eastAsia="zh-CN"/>
        </w:rPr>
        <w:t>万元，其中：基本支出</w:t>
      </w:r>
      <w:r>
        <w:rPr>
          <w:rFonts w:hint="eastAsia" w:cs="方正仿宋_GBK"/>
          <w:b w:val="0"/>
          <w:bCs w:val="0"/>
          <w:sz w:val="33"/>
          <w:szCs w:val="33"/>
          <w:lang w:val="en-US" w:eastAsia="zh-CN"/>
        </w:rPr>
        <w:t>377.41</w:t>
      </w:r>
      <w:r>
        <w:rPr>
          <w:rFonts w:hint="eastAsia" w:ascii="方正仿宋_GBK" w:hAnsi="方正仿宋_GBK" w:eastAsia="方正仿宋_GBK" w:cs="方正仿宋_GBK"/>
          <w:b w:val="0"/>
          <w:bCs w:val="0"/>
          <w:sz w:val="33"/>
          <w:szCs w:val="33"/>
          <w:lang w:eastAsia="zh-CN"/>
        </w:rPr>
        <w:t>万元，占100%。</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四、财政拨款收支预算情况说明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学校</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财政拨款收支总预算</w:t>
      </w:r>
      <w:r>
        <w:rPr>
          <w:rFonts w:hint="eastAsia" w:cs="方正仿宋_GBK"/>
          <w:b w:val="0"/>
          <w:bCs w:val="0"/>
          <w:sz w:val="33"/>
          <w:szCs w:val="33"/>
          <w:lang w:val="en-US" w:eastAsia="zh-CN"/>
        </w:rPr>
        <w:t>377.41</w:t>
      </w:r>
      <w:r>
        <w:rPr>
          <w:rFonts w:hint="eastAsia" w:ascii="方正仿宋_GBK" w:hAnsi="方正仿宋_GBK" w:eastAsia="方正仿宋_GBK" w:cs="方正仿宋_GBK"/>
          <w:b w:val="0"/>
          <w:bCs w:val="0"/>
          <w:sz w:val="33"/>
          <w:szCs w:val="33"/>
          <w:lang w:eastAsia="zh-CN"/>
        </w:rPr>
        <w:t>万元。收入包括：本年一般公共预算拨款收入</w:t>
      </w:r>
      <w:r>
        <w:rPr>
          <w:rFonts w:hint="eastAsia" w:cs="方正仿宋_GBK"/>
          <w:b w:val="0"/>
          <w:bCs w:val="0"/>
          <w:sz w:val="33"/>
          <w:szCs w:val="33"/>
          <w:lang w:val="en-US" w:eastAsia="zh-CN"/>
        </w:rPr>
        <w:t>377.41</w:t>
      </w:r>
      <w:r>
        <w:rPr>
          <w:rFonts w:hint="eastAsia" w:ascii="方正仿宋_GBK" w:hAnsi="方正仿宋_GBK" w:eastAsia="方正仿宋_GBK" w:cs="方正仿宋_GBK"/>
          <w:b w:val="0"/>
          <w:bCs w:val="0"/>
          <w:sz w:val="33"/>
          <w:szCs w:val="33"/>
          <w:lang w:eastAsia="zh-CN"/>
        </w:rPr>
        <w:t>万元；支出包括：教育支出</w:t>
      </w:r>
      <w:r>
        <w:rPr>
          <w:rFonts w:hint="eastAsia" w:cs="方正仿宋_GBK"/>
          <w:b w:val="0"/>
          <w:bCs w:val="0"/>
          <w:sz w:val="33"/>
          <w:szCs w:val="33"/>
          <w:lang w:val="en-US" w:eastAsia="zh-CN"/>
        </w:rPr>
        <w:t>274.01</w:t>
      </w:r>
      <w:r>
        <w:rPr>
          <w:rFonts w:hint="eastAsia" w:ascii="方正仿宋_GBK" w:hAnsi="方正仿宋_GBK" w:eastAsia="方正仿宋_GBK" w:cs="方正仿宋_GBK"/>
          <w:b w:val="0"/>
          <w:bCs w:val="0"/>
          <w:sz w:val="33"/>
          <w:szCs w:val="33"/>
          <w:lang w:eastAsia="zh-CN"/>
        </w:rPr>
        <w:t>万元、社会保障和就业支出</w:t>
      </w:r>
      <w:r>
        <w:rPr>
          <w:rFonts w:hint="eastAsia" w:cs="方正仿宋_GBK"/>
          <w:b w:val="0"/>
          <w:bCs w:val="0"/>
          <w:sz w:val="33"/>
          <w:szCs w:val="33"/>
          <w:lang w:val="en-US" w:eastAsia="zh-CN"/>
        </w:rPr>
        <w:t>40.89</w:t>
      </w:r>
      <w:r>
        <w:rPr>
          <w:rFonts w:hint="eastAsia" w:ascii="方正仿宋_GBK" w:hAnsi="方正仿宋_GBK" w:eastAsia="方正仿宋_GBK" w:cs="方正仿宋_GBK"/>
          <w:b w:val="0"/>
          <w:bCs w:val="0"/>
          <w:sz w:val="33"/>
          <w:szCs w:val="33"/>
          <w:lang w:eastAsia="zh-CN"/>
        </w:rPr>
        <w:t>万元、卫生健康支出</w:t>
      </w:r>
      <w:r>
        <w:rPr>
          <w:rFonts w:hint="eastAsia" w:cs="方正仿宋_GBK"/>
          <w:b w:val="0"/>
          <w:bCs w:val="0"/>
          <w:sz w:val="33"/>
          <w:szCs w:val="33"/>
          <w:lang w:val="en-US" w:eastAsia="zh-CN"/>
        </w:rPr>
        <w:t>31.84</w:t>
      </w:r>
      <w:r>
        <w:rPr>
          <w:rFonts w:hint="eastAsia" w:ascii="方正仿宋_GBK" w:hAnsi="方正仿宋_GBK" w:eastAsia="方正仿宋_GBK" w:cs="方正仿宋_GBK"/>
          <w:b w:val="0"/>
          <w:bCs w:val="0"/>
          <w:sz w:val="33"/>
          <w:szCs w:val="33"/>
          <w:lang w:eastAsia="zh-CN"/>
        </w:rPr>
        <w:t>万元、住房保障支出</w:t>
      </w:r>
      <w:r>
        <w:rPr>
          <w:rFonts w:hint="eastAsia" w:cs="方正仿宋_GBK"/>
          <w:b w:val="0"/>
          <w:bCs w:val="0"/>
          <w:sz w:val="33"/>
          <w:szCs w:val="33"/>
          <w:lang w:val="en-US" w:eastAsia="zh-CN"/>
        </w:rPr>
        <w:t>30.67</w:t>
      </w:r>
      <w:r>
        <w:rPr>
          <w:rFonts w:hint="eastAsia" w:ascii="方正仿宋_GBK" w:hAnsi="方正仿宋_GBK" w:eastAsia="方正仿宋_GBK" w:cs="方正仿宋_GBK"/>
          <w:b w:val="0"/>
          <w:bCs w:val="0"/>
          <w:sz w:val="33"/>
          <w:szCs w:val="33"/>
          <w:lang w:eastAsia="zh-CN"/>
        </w:rPr>
        <w:t>万元。</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五、一般公共预算当年拨款情况说明</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（一）一般公共预算当年拨款规模变化情况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胜利小学</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一般公共预算当年拨款</w:t>
      </w:r>
      <w:r>
        <w:rPr>
          <w:rFonts w:hint="eastAsia" w:cs="方正仿宋_GBK"/>
          <w:b w:val="0"/>
          <w:bCs w:val="0"/>
          <w:sz w:val="33"/>
          <w:szCs w:val="33"/>
          <w:lang w:val="en-US" w:eastAsia="zh-CN"/>
        </w:rPr>
        <w:t>377.41</w:t>
      </w:r>
      <w:r>
        <w:rPr>
          <w:rFonts w:hint="eastAsia" w:ascii="方正仿宋_GBK" w:hAnsi="方正仿宋_GBK" w:eastAsia="方正仿宋_GBK" w:cs="方正仿宋_GBK"/>
          <w:b w:val="0"/>
          <w:bCs w:val="0"/>
          <w:sz w:val="33"/>
          <w:szCs w:val="33"/>
          <w:lang w:eastAsia="zh-CN"/>
        </w:rPr>
        <w:t>万元，比</w:t>
      </w:r>
      <w:r>
        <w:rPr>
          <w:rFonts w:hint="eastAsia" w:cs="方正仿宋_GBK"/>
          <w:b w:val="0"/>
          <w:bCs w:val="0"/>
          <w:sz w:val="33"/>
          <w:szCs w:val="33"/>
          <w:lang w:val="en-US" w:eastAsia="zh-CN"/>
        </w:rPr>
        <w:t>2020</w:t>
      </w:r>
      <w:r>
        <w:rPr>
          <w:rFonts w:hint="eastAsia" w:ascii="方正仿宋_GBK" w:hAnsi="方正仿宋_GBK" w:eastAsia="方正仿宋_GBK" w:cs="方正仿宋_GBK"/>
          <w:b w:val="0"/>
          <w:bCs w:val="0"/>
          <w:sz w:val="33"/>
          <w:szCs w:val="33"/>
          <w:lang w:eastAsia="zh-CN"/>
        </w:rPr>
        <w:t>年预算数增加</w:t>
      </w:r>
      <w:r>
        <w:rPr>
          <w:rFonts w:hint="eastAsia" w:cs="方正仿宋_GBK"/>
          <w:b w:val="0"/>
          <w:bCs w:val="0"/>
          <w:sz w:val="33"/>
          <w:szCs w:val="33"/>
          <w:lang w:val="en-US" w:eastAsia="zh-CN"/>
        </w:rPr>
        <w:t>24.22</w:t>
      </w:r>
      <w:r>
        <w:rPr>
          <w:rFonts w:hint="eastAsia" w:ascii="方正仿宋_GBK" w:hAnsi="方正仿宋_GBK" w:eastAsia="方正仿宋_GBK" w:cs="方正仿宋_GBK"/>
          <w:b w:val="0"/>
          <w:bCs w:val="0"/>
          <w:sz w:val="33"/>
          <w:szCs w:val="33"/>
          <w:lang w:eastAsia="zh-CN"/>
        </w:rPr>
        <w:t>万元，主要原因是本年部分教师职称等级变动后基本工资提高了标准等</w:t>
      </w:r>
      <w:r>
        <w:rPr>
          <w:rFonts w:hint="eastAsia" w:cs="方正仿宋_GBK"/>
          <w:b w:val="0"/>
          <w:bCs w:val="0"/>
          <w:sz w:val="33"/>
          <w:szCs w:val="33"/>
          <w:lang w:eastAsia="zh-CN"/>
        </w:rPr>
        <w:t>；再加上各种保险基数增加</w:t>
      </w:r>
      <w:r>
        <w:rPr>
          <w:rFonts w:hint="eastAsia" w:ascii="方正仿宋_GBK" w:hAnsi="方正仿宋_GBK" w:eastAsia="方正仿宋_GBK" w:cs="方正仿宋_GBK"/>
          <w:b w:val="0"/>
          <w:bCs w:val="0"/>
          <w:sz w:val="33"/>
          <w:szCs w:val="33"/>
          <w:lang w:eastAsia="zh-CN"/>
        </w:rPr>
        <w:t>了。</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（二）一般公共预算当年拨款结构情况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教育支出</w:t>
      </w:r>
      <w:r>
        <w:rPr>
          <w:rFonts w:hint="eastAsia" w:cs="方正仿宋_GBK"/>
          <w:b w:val="0"/>
          <w:bCs w:val="0"/>
          <w:sz w:val="33"/>
          <w:szCs w:val="33"/>
          <w:lang w:val="en-US" w:eastAsia="zh-CN"/>
        </w:rPr>
        <w:t>274.01</w:t>
      </w:r>
      <w:r>
        <w:rPr>
          <w:rFonts w:hint="eastAsia" w:ascii="方正仿宋_GBK" w:hAnsi="方正仿宋_GBK" w:eastAsia="方正仿宋_GBK" w:cs="方正仿宋_GBK"/>
          <w:b w:val="0"/>
          <w:bCs w:val="0"/>
          <w:sz w:val="33"/>
          <w:szCs w:val="33"/>
          <w:lang w:eastAsia="zh-CN"/>
        </w:rPr>
        <w:t>万元，占72.</w:t>
      </w:r>
      <w:r>
        <w:rPr>
          <w:rFonts w:hint="eastAsia" w:cs="方正仿宋_GBK"/>
          <w:b w:val="0"/>
          <w:bCs w:val="0"/>
          <w:sz w:val="33"/>
          <w:szCs w:val="33"/>
          <w:lang w:val="en-US" w:eastAsia="zh-CN"/>
        </w:rPr>
        <w:t>6</w:t>
      </w:r>
      <w:r>
        <w:rPr>
          <w:rFonts w:hint="eastAsia" w:ascii="方正仿宋_GBK" w:hAnsi="方正仿宋_GBK" w:eastAsia="方正仿宋_GBK" w:cs="方正仿宋_GBK"/>
          <w:b w:val="0"/>
          <w:bCs w:val="0"/>
          <w:sz w:val="33"/>
          <w:szCs w:val="33"/>
          <w:lang w:eastAsia="zh-CN"/>
        </w:rPr>
        <w:t>%、社会保障和就业支出</w:t>
      </w:r>
      <w:r>
        <w:rPr>
          <w:rFonts w:hint="eastAsia" w:cs="方正仿宋_GBK"/>
          <w:b w:val="0"/>
          <w:bCs w:val="0"/>
          <w:sz w:val="33"/>
          <w:szCs w:val="33"/>
          <w:lang w:val="en-US" w:eastAsia="zh-CN"/>
        </w:rPr>
        <w:t>40.89</w:t>
      </w:r>
      <w:r>
        <w:rPr>
          <w:rFonts w:hint="eastAsia" w:ascii="方正仿宋_GBK" w:hAnsi="方正仿宋_GBK" w:eastAsia="方正仿宋_GBK" w:cs="方正仿宋_GBK"/>
          <w:b w:val="0"/>
          <w:bCs w:val="0"/>
          <w:sz w:val="33"/>
          <w:szCs w:val="33"/>
          <w:lang w:eastAsia="zh-CN"/>
        </w:rPr>
        <w:t>万元，占10.8%、卫生健康支出</w:t>
      </w:r>
      <w:r>
        <w:rPr>
          <w:rFonts w:hint="eastAsia" w:cs="方正仿宋_GBK"/>
          <w:b w:val="0"/>
          <w:bCs w:val="0"/>
          <w:sz w:val="33"/>
          <w:szCs w:val="33"/>
          <w:lang w:val="en-US" w:eastAsia="zh-CN"/>
        </w:rPr>
        <w:t>31.84</w:t>
      </w:r>
      <w:r>
        <w:rPr>
          <w:rFonts w:hint="eastAsia" w:ascii="方正仿宋_GBK" w:hAnsi="方正仿宋_GBK" w:eastAsia="方正仿宋_GBK" w:cs="方正仿宋_GBK"/>
          <w:b w:val="0"/>
          <w:bCs w:val="0"/>
          <w:sz w:val="33"/>
          <w:szCs w:val="33"/>
          <w:lang w:eastAsia="zh-CN"/>
        </w:rPr>
        <w:t>万元，占8.</w:t>
      </w:r>
      <w:r>
        <w:rPr>
          <w:rFonts w:hint="eastAsia" w:cs="方正仿宋_GBK"/>
          <w:b w:val="0"/>
          <w:bCs w:val="0"/>
          <w:sz w:val="33"/>
          <w:szCs w:val="33"/>
          <w:lang w:val="en-US" w:eastAsia="zh-CN"/>
        </w:rPr>
        <w:t>4</w:t>
      </w:r>
      <w:r>
        <w:rPr>
          <w:rFonts w:hint="eastAsia" w:ascii="方正仿宋_GBK" w:hAnsi="方正仿宋_GBK" w:eastAsia="方正仿宋_GBK" w:cs="方正仿宋_GBK"/>
          <w:b w:val="0"/>
          <w:bCs w:val="0"/>
          <w:sz w:val="33"/>
          <w:szCs w:val="33"/>
          <w:lang w:eastAsia="zh-CN"/>
        </w:rPr>
        <w:t>%、住房保障支出</w:t>
      </w:r>
      <w:r>
        <w:rPr>
          <w:rFonts w:hint="eastAsia" w:cs="方正仿宋_GBK"/>
          <w:b w:val="0"/>
          <w:bCs w:val="0"/>
          <w:sz w:val="33"/>
          <w:szCs w:val="33"/>
          <w:lang w:val="en-US" w:eastAsia="zh-CN"/>
        </w:rPr>
        <w:t>30.67</w:t>
      </w:r>
      <w:r>
        <w:rPr>
          <w:rFonts w:hint="eastAsia" w:ascii="方正仿宋_GBK" w:hAnsi="方正仿宋_GBK" w:eastAsia="方正仿宋_GBK" w:cs="方正仿宋_GBK"/>
          <w:b w:val="0"/>
          <w:bCs w:val="0"/>
          <w:sz w:val="33"/>
          <w:szCs w:val="33"/>
          <w:lang w:eastAsia="zh-CN"/>
        </w:rPr>
        <w:t>万元，占8.</w:t>
      </w:r>
      <w:r>
        <w:rPr>
          <w:rFonts w:hint="eastAsia" w:cs="方正仿宋_GBK"/>
          <w:b w:val="0"/>
          <w:bCs w:val="0"/>
          <w:sz w:val="33"/>
          <w:szCs w:val="33"/>
          <w:lang w:val="en-US" w:eastAsia="zh-CN"/>
        </w:rPr>
        <w:t>2</w:t>
      </w:r>
      <w:r>
        <w:rPr>
          <w:rFonts w:hint="eastAsia" w:ascii="方正仿宋_GBK" w:hAnsi="方正仿宋_GBK" w:eastAsia="方正仿宋_GBK" w:cs="方正仿宋_GBK"/>
          <w:b w:val="0"/>
          <w:bCs w:val="0"/>
          <w:sz w:val="33"/>
          <w:szCs w:val="33"/>
          <w:lang w:eastAsia="zh-CN"/>
        </w:rPr>
        <w:t>%。</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（三）一般公共预算当年拨款具体使用情况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1.教育支出（类）</w:t>
      </w:r>
      <w:r>
        <w:rPr>
          <w:rFonts w:hint="eastAsia" w:ascii="方正仿宋_GBK" w:hAnsi="方正仿宋_GBK" w:eastAsia="方正仿宋_GBK" w:cs="方正仿宋_GBK"/>
          <w:b w:val="0"/>
          <w:bCs w:val="0"/>
          <w:sz w:val="33"/>
          <w:szCs w:val="33"/>
          <w:lang w:eastAsia="zh-CN"/>
        </w:rPr>
        <w:t>普通教育（款）小学教育（项）</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274.01</w:t>
      </w:r>
      <w:r>
        <w:rPr>
          <w:rFonts w:hint="eastAsia" w:ascii="方正仿宋_GBK" w:hAnsi="方正仿宋_GBK" w:eastAsia="方正仿宋_GBK" w:cs="方正仿宋_GBK"/>
          <w:b w:val="0"/>
          <w:bCs w:val="0"/>
          <w:sz w:val="33"/>
          <w:szCs w:val="33"/>
          <w:lang w:eastAsia="zh-CN"/>
        </w:rPr>
        <w:t>万元，主要用于：胜利小学教职工基本工资、津补贴等基本支出。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2.社会保障和就业支出（类）</w:t>
      </w:r>
      <w:r>
        <w:rPr>
          <w:rFonts w:hint="eastAsia" w:ascii="方正仿宋_GBK" w:hAnsi="方正仿宋_GBK" w:eastAsia="方正仿宋_GBK" w:cs="方正仿宋_GBK"/>
          <w:b w:val="0"/>
          <w:bCs w:val="0"/>
          <w:sz w:val="33"/>
          <w:szCs w:val="33"/>
          <w:lang w:eastAsia="zh-CN"/>
        </w:rPr>
        <w:t>行政事业单位（款）机关事业单位基本养老保险（项）</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40.89</w:t>
      </w:r>
      <w:r>
        <w:rPr>
          <w:rFonts w:hint="eastAsia" w:ascii="方正仿宋_GBK" w:hAnsi="方正仿宋_GBK" w:eastAsia="方正仿宋_GBK" w:cs="方正仿宋_GBK"/>
          <w:b w:val="0"/>
          <w:bCs w:val="0"/>
          <w:sz w:val="33"/>
          <w:szCs w:val="33"/>
          <w:lang w:eastAsia="zh-CN"/>
        </w:rPr>
        <w:t>万元，主要用于胜利小学教职工养老保险缴费。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3.卫生健康支出（类）</w:t>
      </w:r>
      <w:r>
        <w:rPr>
          <w:rFonts w:hint="eastAsia" w:ascii="方正仿宋_GBK" w:hAnsi="方正仿宋_GBK" w:eastAsia="方正仿宋_GBK" w:cs="方正仿宋_GBK"/>
          <w:b w:val="0"/>
          <w:bCs w:val="0"/>
          <w:sz w:val="33"/>
          <w:szCs w:val="33"/>
          <w:lang w:eastAsia="zh-CN"/>
        </w:rPr>
        <w:t>行政事业单位医疗（款）事业单位医疗（项）</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28.86</w:t>
      </w:r>
      <w:r>
        <w:rPr>
          <w:rFonts w:hint="eastAsia" w:ascii="方正仿宋_GBK" w:hAnsi="方正仿宋_GBK" w:eastAsia="方正仿宋_GBK" w:cs="方正仿宋_GBK"/>
          <w:b w:val="0"/>
          <w:bCs w:val="0"/>
          <w:sz w:val="33"/>
          <w:szCs w:val="33"/>
          <w:lang w:eastAsia="zh-CN"/>
        </w:rPr>
        <w:t>万元，主要用于：胜利小学教职工基本医疗保险缴费</w:t>
      </w:r>
      <w:r>
        <w:rPr>
          <w:rFonts w:hint="eastAsia" w:cs="方正仿宋_GBK"/>
          <w:b w:val="0"/>
          <w:bCs w:val="0"/>
          <w:sz w:val="33"/>
          <w:szCs w:val="33"/>
          <w:lang w:eastAsia="zh-CN"/>
        </w:rPr>
        <w:t>和在职人员</w:t>
      </w:r>
      <w:r>
        <w:rPr>
          <w:rFonts w:hint="eastAsia" w:ascii="方正仿宋_GBK" w:hAnsi="方正仿宋_GBK" w:eastAsia="方正仿宋_GBK" w:cs="方正仿宋_GBK"/>
          <w:b w:val="0"/>
          <w:bCs w:val="0"/>
          <w:sz w:val="33"/>
          <w:szCs w:val="33"/>
          <w:lang w:eastAsia="zh-CN"/>
        </w:rPr>
        <w:t>公务员医疗补助。</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4.卫生健康支出（类）</w:t>
      </w:r>
      <w:r>
        <w:rPr>
          <w:rFonts w:hint="eastAsia" w:ascii="方正仿宋_GBK" w:hAnsi="方正仿宋_GBK" w:eastAsia="方正仿宋_GBK" w:cs="方正仿宋_GBK"/>
          <w:b w:val="0"/>
          <w:bCs w:val="0"/>
          <w:sz w:val="33"/>
          <w:szCs w:val="33"/>
          <w:lang w:eastAsia="zh-CN"/>
        </w:rPr>
        <w:t>行政事业单位医疗（款）其他行政事业单位医疗支出（项）</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2.98</w:t>
      </w:r>
      <w:r>
        <w:rPr>
          <w:rFonts w:hint="eastAsia" w:ascii="方正仿宋_GBK" w:hAnsi="方正仿宋_GBK" w:eastAsia="方正仿宋_GBK" w:cs="方正仿宋_GBK"/>
          <w:b w:val="0"/>
          <w:bCs w:val="0"/>
          <w:sz w:val="33"/>
          <w:szCs w:val="33"/>
          <w:lang w:eastAsia="zh-CN"/>
        </w:rPr>
        <w:t>万元，主要用于：胜利小学教职工大病医疗保险缴费和退休人员公务员医疗补助。</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5.住房保障支出（类）</w:t>
      </w:r>
      <w:r>
        <w:rPr>
          <w:rFonts w:hint="eastAsia" w:ascii="方正仿宋_GBK" w:hAnsi="方正仿宋_GBK" w:eastAsia="方正仿宋_GBK" w:cs="方正仿宋_GBK"/>
          <w:b w:val="0"/>
          <w:bCs w:val="0"/>
          <w:sz w:val="33"/>
          <w:szCs w:val="33"/>
          <w:lang w:eastAsia="zh-CN"/>
        </w:rPr>
        <w:t>住房改革支出（款）住房公积金（项）</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30.67</w:t>
      </w:r>
      <w:r>
        <w:rPr>
          <w:rFonts w:hint="eastAsia" w:ascii="方正仿宋_GBK" w:hAnsi="方正仿宋_GBK" w:eastAsia="方正仿宋_GBK" w:cs="方正仿宋_GBK"/>
          <w:b w:val="0"/>
          <w:bCs w:val="0"/>
          <w:sz w:val="33"/>
          <w:szCs w:val="33"/>
          <w:lang w:eastAsia="zh-CN"/>
        </w:rPr>
        <w:t>万元，主要用于：胜利小学教职工按广安市人力资源和社会保障局、财政局规定的基本工资和津贴补贴以及规定比例为职工缴纳的住房公积金。</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六、一般公共预算基本支出情况说明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胜利小学</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一般公共预算基本支出</w:t>
      </w:r>
      <w:r>
        <w:rPr>
          <w:rFonts w:hint="eastAsia" w:cs="方正仿宋_GBK"/>
          <w:b w:val="0"/>
          <w:bCs w:val="0"/>
          <w:sz w:val="33"/>
          <w:szCs w:val="33"/>
          <w:lang w:val="en-US" w:eastAsia="zh-CN"/>
        </w:rPr>
        <w:t>377.41</w:t>
      </w:r>
      <w:r>
        <w:rPr>
          <w:rFonts w:hint="eastAsia" w:ascii="方正仿宋_GBK" w:hAnsi="方正仿宋_GBK" w:eastAsia="方正仿宋_GBK" w:cs="方正仿宋_GBK"/>
          <w:b w:val="0"/>
          <w:bCs w:val="0"/>
          <w:sz w:val="33"/>
          <w:szCs w:val="33"/>
          <w:lang w:eastAsia="zh-CN"/>
        </w:rPr>
        <w:t>万元，其中：人员经费</w:t>
      </w:r>
      <w:r>
        <w:rPr>
          <w:rFonts w:hint="eastAsia" w:cs="方正仿宋_GBK"/>
          <w:b w:val="0"/>
          <w:bCs w:val="0"/>
          <w:sz w:val="33"/>
          <w:szCs w:val="33"/>
          <w:lang w:val="en-US" w:eastAsia="zh-CN"/>
        </w:rPr>
        <w:t>374.85</w:t>
      </w:r>
      <w:r>
        <w:rPr>
          <w:rFonts w:hint="eastAsia" w:ascii="方正仿宋_GBK" w:hAnsi="方正仿宋_GBK" w:eastAsia="方正仿宋_GBK" w:cs="方正仿宋_GBK"/>
          <w:b w:val="0"/>
          <w:bCs w:val="0"/>
          <w:sz w:val="33"/>
          <w:szCs w:val="33"/>
          <w:lang w:eastAsia="zh-CN"/>
        </w:rPr>
        <w:t>万元，主要包括：基本工资、津贴补贴、奖金、其他社会保障缴费、绩效工资、机关事业单位基本养老保险缴费、其他工资福利支出、遗属生活补助、住房公积金缴费。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公用经费</w:t>
      </w:r>
      <w:r>
        <w:rPr>
          <w:rFonts w:hint="eastAsia" w:cs="方正仿宋_GBK"/>
          <w:b w:val="0"/>
          <w:bCs w:val="0"/>
          <w:sz w:val="33"/>
          <w:szCs w:val="33"/>
          <w:lang w:val="en-US" w:eastAsia="zh-CN"/>
        </w:rPr>
        <w:t>2.56</w:t>
      </w:r>
      <w:r>
        <w:rPr>
          <w:rFonts w:hint="eastAsia" w:ascii="方正仿宋_GBK" w:hAnsi="方正仿宋_GBK" w:eastAsia="方正仿宋_GBK" w:cs="方正仿宋_GBK"/>
          <w:b w:val="0"/>
          <w:bCs w:val="0"/>
          <w:sz w:val="33"/>
          <w:szCs w:val="33"/>
          <w:lang w:eastAsia="zh-CN"/>
        </w:rPr>
        <w:t>万元，主要包括：工会经费。其余的公用经费没有纳入本年学校预算。具体详见本年决算对应数据。</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七、“三公”经费财政拨款预算安排情况说明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胜利小学</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未安排“三公”经费财政拨款预算.</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八、政府性基金预算支出情况说明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胜利小学</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未安排政府性基金预算。</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九、其他重要事项的情况说明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（一）政府采购情况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，胜利小学安排政府采购预算</w:t>
      </w:r>
      <w:r>
        <w:rPr>
          <w:rFonts w:hint="eastAsia" w:cs="方正仿宋_GBK"/>
          <w:b w:val="0"/>
          <w:bCs w:val="0"/>
          <w:sz w:val="33"/>
          <w:szCs w:val="33"/>
          <w:lang w:val="en-US" w:eastAsia="zh-CN"/>
        </w:rPr>
        <w:t>25.5</w:t>
      </w:r>
      <w:r>
        <w:rPr>
          <w:rFonts w:hint="eastAsia" w:ascii="方正仿宋_GBK" w:hAnsi="方正仿宋_GBK" w:eastAsia="方正仿宋_GBK" w:cs="方正仿宋_GBK"/>
          <w:b w:val="0"/>
          <w:bCs w:val="0"/>
          <w:sz w:val="33"/>
          <w:szCs w:val="33"/>
          <w:lang w:eastAsia="zh-CN"/>
        </w:rPr>
        <w:t>万元，主要用于采购办公用电脑、打印机、空调等。</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（二）学生生均公用经费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按照我县部门预算要求，我县</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学校生均公用经费拨款收支均未纳入部门预算。具体收入、支出明细情况将在我校</w:t>
      </w:r>
      <w:r>
        <w:rPr>
          <w:rFonts w:hint="eastAsia" w:cs="方正仿宋_GBK"/>
          <w:b w:val="0"/>
          <w:bCs w:val="0"/>
          <w:sz w:val="33"/>
          <w:szCs w:val="33"/>
          <w:lang w:eastAsia="zh-CN"/>
        </w:rPr>
        <w:t>2021年</w:t>
      </w:r>
      <w:r>
        <w:rPr>
          <w:rFonts w:hint="eastAsia" w:ascii="方正仿宋_GBK" w:hAnsi="方正仿宋_GBK" w:eastAsia="方正仿宋_GBK" w:cs="方正仿宋_GBK"/>
          <w:b w:val="0"/>
          <w:bCs w:val="0"/>
          <w:sz w:val="33"/>
          <w:szCs w:val="33"/>
          <w:lang w:eastAsia="zh-CN"/>
        </w:rPr>
        <w:t>部门决算公开资料中体现。</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十、名词解释</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1.财政拨款收入：</w:t>
      </w:r>
      <w:r>
        <w:rPr>
          <w:rFonts w:hint="eastAsia" w:ascii="方正仿宋_GBK" w:hAnsi="方正仿宋_GBK" w:eastAsia="方正仿宋_GBK" w:cs="方正仿宋_GBK"/>
          <w:b w:val="0"/>
          <w:bCs w:val="0"/>
          <w:sz w:val="33"/>
          <w:szCs w:val="33"/>
          <w:lang w:eastAsia="zh-CN"/>
        </w:rPr>
        <w:t>指县财政当年通过部门预算拨付的财政资金。包括一般公共预算拨款收入和政府性基金预算拨款收入。</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2.事业收入：</w:t>
      </w:r>
      <w:r>
        <w:rPr>
          <w:rFonts w:hint="eastAsia" w:ascii="方正仿宋_GBK" w:hAnsi="方正仿宋_GBK" w:eastAsia="方正仿宋_GBK" w:cs="方正仿宋_GBK"/>
          <w:b w:val="0"/>
          <w:bCs w:val="0"/>
          <w:sz w:val="33"/>
          <w:szCs w:val="33"/>
          <w:lang w:eastAsia="zh-CN"/>
        </w:rPr>
        <w:t>指事业单位开展专业业务活动及辅助活动所取得的收入。主要为按照国家有关部门批准的项目和标准收取的幼儿园保育费、学费、住宿费。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3.基本支出：</w:t>
      </w:r>
      <w:r>
        <w:rPr>
          <w:rFonts w:hint="eastAsia" w:ascii="方正仿宋_GBK" w:hAnsi="方正仿宋_GBK" w:eastAsia="方正仿宋_GBK" w:cs="方正仿宋_GBK"/>
          <w:b w:val="0"/>
          <w:bCs w:val="0"/>
          <w:sz w:val="33"/>
          <w:szCs w:val="33"/>
          <w:lang w:eastAsia="zh-CN"/>
        </w:rPr>
        <w:t>指为保障机构正常运转、完成日常工作任务而发生的人员支出和公用支出。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4.项目支出：</w:t>
      </w:r>
      <w:r>
        <w:rPr>
          <w:rFonts w:hint="eastAsia" w:ascii="方正仿宋_GBK" w:hAnsi="方正仿宋_GBK" w:eastAsia="方正仿宋_GBK" w:cs="方正仿宋_GBK"/>
          <w:b w:val="0"/>
          <w:bCs w:val="0"/>
          <w:sz w:val="33"/>
          <w:szCs w:val="33"/>
          <w:lang w:eastAsia="zh-CN"/>
        </w:rPr>
        <w:t>指在基本支出之外为完成特定行政任务和事业发展目标所发生的支出。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5.三公经费：</w:t>
      </w:r>
      <w:r>
        <w:rPr>
          <w:rFonts w:hint="eastAsia" w:ascii="方正仿宋_GBK" w:hAnsi="方正仿宋_GBK" w:eastAsia="方正仿宋_GBK" w:cs="方正仿宋_GBK"/>
          <w:b w:val="0"/>
          <w:bCs w:val="0"/>
          <w:sz w:val="33"/>
          <w:szCs w:val="33"/>
          <w:lang w:eastAsia="zh-CN"/>
        </w:rPr>
        <w:t>指通过财政拨款安排的因公出国（境）费、公务用车购置及运行费和公务接待费，本单位部门预算中的“三公经费”包括基本支出和项目支出安排数。其中，因公出国（境）费指单位工作人员公务出国（境）的住宿费、旅费、伙食补助费、杂费、培训费等支出；公务用车购置及运行费指单位公务用车购置费、租用费、燃料费、维修费、过路过桥费、保险费、安全奖励费用等支出；公务接待费指单位按规定开支的各类公务接待（含外宾接待）支出。</w:t>
      </w:r>
    </w:p>
    <w:p>
      <w:pPr>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附件：表1.部门收支总表</w:t>
      </w:r>
    </w:p>
    <w:p>
      <w:pPr>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　　      表1-1.部门收入总表</w:t>
      </w:r>
    </w:p>
    <w:p>
      <w:pPr>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　　      表1-2.部门支出总表</w:t>
      </w:r>
    </w:p>
    <w:p>
      <w:pPr>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表2.财政拨款收支预算总表</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表2-1.财政拨款支出预算表（政府经济分类科目）</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表3.一般公共预算支出预算表</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表3-1.一般公共预算基本支出预算表</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表3-2.一般公共预算项目支出预算表</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表3-3.一般公共预算“三公”经费支出预算表</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表4.政府性基金支出预算表</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表4-1.政府性基金预算“三公”经费支出预算表</w:t>
      </w:r>
    </w:p>
    <w:p>
      <w:pPr>
        <w:ind w:firstLine="1658" w:firstLineChars="501"/>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表5.国有资本经营预算支出预算表</w:t>
      </w:r>
    </w:p>
    <w:p>
      <w:pPr>
        <w:ind w:firstLine="645"/>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xml:space="preserve">      表6.项目绩效目标表</w:t>
      </w:r>
    </w:p>
    <w:p>
      <w:pPr>
        <w:ind w:firstLine="1658" w:firstLineChars="501"/>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表7.部门整体支出绩效目标表</w:t>
      </w:r>
    </w:p>
    <w:p>
      <w:pPr>
        <w:pStyle w:val="3"/>
        <w:spacing w:before="12"/>
        <w:ind w:firstLine="662" w:firstLineChars="200"/>
        <w:rPr>
          <w:rFonts w:hint="eastAsia" w:ascii="方正仿宋_GBK" w:hAnsi="方正仿宋_GBK" w:eastAsia="方正仿宋_GBK" w:cs="方正仿宋_GBK"/>
          <w:sz w:val="33"/>
          <w:szCs w:val="33"/>
          <w:lang w:val="en-US" w:eastAsia="zh-CN"/>
        </w:rPr>
      </w:pPr>
      <w:r>
        <w:rPr>
          <w:rFonts w:hint="eastAsia" w:ascii="方正仿宋_GBK" w:hAnsi="方正仿宋_GBK" w:eastAsia="方正仿宋_GBK" w:cs="方正仿宋_GBK"/>
          <w:sz w:val="33"/>
          <w:szCs w:val="33"/>
        </w:rPr>
        <mc:AlternateContent>
          <mc:Choice Requires="wps">
            <w:drawing>
              <wp:anchor distT="0" distB="0" distL="0" distR="0" simplePos="0" relativeHeight="251659264" behindDoc="1" locked="0" layoutInCell="1" allowOverlap="1">
                <wp:simplePos x="0" y="0"/>
                <wp:positionH relativeFrom="page">
                  <wp:posOffset>990600</wp:posOffset>
                </wp:positionH>
                <wp:positionV relativeFrom="paragraph">
                  <wp:posOffset>151130</wp:posOffset>
                </wp:positionV>
                <wp:extent cx="5600700" cy="0"/>
                <wp:effectExtent l="0" t="0" r="0" b="0"/>
                <wp:wrapTopAndBottom/>
                <wp:docPr id="2" name="直线 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78pt;margin-top:11.9pt;height:0pt;width:441pt;mso-position-horizontal-relative:page;mso-wrap-distance-bottom:0pt;mso-wrap-distance-top:0pt;z-index:-251657216;mso-width-relative:page;mso-height-relative:page;" filled="f" stroked="t" coordsize="21600,21600" o:gfxdata="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HVSj/VAAAA&#10;CgEAAA8AAAAAAAAAAQAgAAAAIgAAAGRycy9kb3ducmV2LnhtbFBLAQIUABQAAAAIAIdO4kBnAobg&#10;5wEAANsDAAAOAAAAAAAAAAEAIAAAACQBAABkcnMvZTJvRG9jLnhtbFBLBQYAAAAABgAGAFkBAAB9&#10;BQAAAAA=&#10;">
                <v:fill on="f" focussize="0,0"/>
                <v:stroke color="#000000" joinstyle="round"/>
                <v:imagedata o:title=""/>
                <o:lock v:ext="edit" aspectratio="f"/>
                <w10:wrap type="topAndBottom"/>
              </v:line>
            </w:pict>
          </mc:Fallback>
        </mc:AlternateContent>
      </w:r>
      <w:r>
        <w:rPr>
          <w:rFonts w:hint="eastAsia" w:ascii="方正仿宋_GBK" w:hAnsi="方正仿宋_GBK" w:eastAsia="方正仿宋_GBK" w:cs="方正仿宋_GBK"/>
          <w:sz w:val="33"/>
          <w:szCs w:val="33"/>
        </w:rPr>
        <w:t>武胜县</w:t>
      </w:r>
      <w:r>
        <w:rPr>
          <w:rFonts w:hint="eastAsia" w:ascii="方正仿宋_GBK" w:hAnsi="方正仿宋_GBK" w:eastAsia="方正仿宋_GBK" w:cs="方正仿宋_GBK"/>
          <w:spacing w:val="-3"/>
          <w:sz w:val="33"/>
          <w:szCs w:val="33"/>
          <w:lang w:eastAsia="zh-CN"/>
        </w:rPr>
        <w:t>胜利小学校</w:t>
      </w:r>
      <w:r>
        <w:rPr>
          <w:rFonts w:hint="eastAsia" w:ascii="方正仿宋_GBK" w:hAnsi="方正仿宋_GBK" w:eastAsia="方正仿宋_GBK" w:cs="方正仿宋_GBK"/>
          <w:sz w:val="33"/>
          <w:szCs w:val="33"/>
        </w:rPr>
        <w:tab/>
      </w:r>
      <w:r>
        <w:rPr>
          <w:rFonts w:hint="eastAsia" w:ascii="方正仿宋_GBK" w:hAnsi="方正仿宋_GBK" w:eastAsia="方正仿宋_GBK" w:cs="方正仿宋_GBK"/>
          <w:sz w:val="33"/>
          <w:szCs w:val="33"/>
          <w:lang w:val="en-US" w:eastAsia="zh-CN"/>
        </w:rPr>
        <w:t xml:space="preserve">               </w:t>
      </w:r>
      <w:r>
        <w:rPr>
          <w:rFonts w:hint="eastAsia" w:ascii="方正仿宋_GBK" w:hAnsi="方正仿宋_GBK" w:eastAsia="方正仿宋_GBK" w:cs="方正仿宋_GBK"/>
          <w:spacing w:val="-2"/>
          <w:sz w:val="33"/>
          <w:szCs w:val="33"/>
          <w:lang w:val="en-US" w:eastAsia="zh-CN"/>
        </w:rPr>
        <w:t>202</w:t>
      </w:r>
      <w:r>
        <w:rPr>
          <w:rFonts w:hint="eastAsia" w:cs="方正仿宋_GBK"/>
          <w:spacing w:val="-2"/>
          <w:sz w:val="33"/>
          <w:szCs w:val="33"/>
          <w:lang w:val="en-US" w:eastAsia="zh-CN"/>
        </w:rPr>
        <w:t>1</w:t>
      </w:r>
      <w:r>
        <w:rPr>
          <w:rFonts w:hint="eastAsia" w:ascii="方正仿宋_GBK" w:hAnsi="方正仿宋_GBK" w:eastAsia="方正仿宋_GBK" w:cs="方正仿宋_GBK"/>
          <w:spacing w:val="-2"/>
          <w:sz w:val="33"/>
          <w:szCs w:val="33"/>
          <w:lang w:val="en-US" w:eastAsia="zh-CN"/>
        </w:rPr>
        <w:t xml:space="preserve"> </w:t>
      </w:r>
      <w:r>
        <w:rPr>
          <w:rFonts w:hint="eastAsia" w:ascii="方正仿宋_GBK" w:hAnsi="方正仿宋_GBK" w:eastAsia="方正仿宋_GBK" w:cs="方正仿宋_GBK"/>
          <w:sz w:val="33"/>
          <w:szCs w:val="33"/>
        </w:rPr>
        <w:t>年</w:t>
      </w:r>
      <w:r>
        <w:rPr>
          <w:rFonts w:hint="eastAsia" w:cs="方正仿宋_GBK"/>
          <w:sz w:val="33"/>
          <w:szCs w:val="33"/>
          <w:lang w:val="en-US" w:eastAsia="zh-CN"/>
        </w:rPr>
        <w:t>02</w:t>
      </w:r>
      <w:r>
        <w:rPr>
          <w:rFonts w:hint="eastAsia" w:ascii="方正仿宋_GBK" w:hAnsi="方正仿宋_GBK" w:eastAsia="方正仿宋_GBK" w:cs="方正仿宋_GBK"/>
          <w:sz w:val="33"/>
          <w:szCs w:val="33"/>
          <w:lang w:val="en-US" w:eastAsia="zh-CN"/>
        </w:rPr>
        <w:t>月2</w:t>
      </w:r>
      <w:r>
        <w:rPr>
          <w:rFonts w:hint="eastAsia" w:cs="方正仿宋_GBK"/>
          <w:sz w:val="33"/>
          <w:szCs w:val="33"/>
          <w:lang w:val="en-US" w:eastAsia="zh-CN"/>
        </w:rPr>
        <w:t>5</w:t>
      </w:r>
      <w:r>
        <w:rPr>
          <w:rFonts w:hint="eastAsia" w:ascii="方正仿宋_GBK" w:hAnsi="方正仿宋_GBK" w:eastAsia="方正仿宋_GBK" w:cs="方正仿宋_GBK"/>
          <w:sz w:val="33"/>
          <w:szCs w:val="33"/>
          <w:lang w:val="en-US" w:eastAsia="zh-CN"/>
        </w:rPr>
        <w:t>日</w:t>
      </w:r>
      <w:bookmarkStart w:id="0" w:name="_GoBack"/>
      <w:bookmarkEnd w:id="0"/>
    </w:p>
    <w:p>
      <w:pPr>
        <w:pStyle w:val="3"/>
        <w:spacing w:before="10"/>
        <w:rPr>
          <w:rFonts w:hint="eastAsia"/>
        </w:rPr>
      </w:pPr>
      <w:r>
        <mc:AlternateContent>
          <mc:Choice Requires="wps">
            <w:drawing>
              <wp:anchor distT="0" distB="0" distL="0" distR="0" simplePos="0" relativeHeight="251660288" behindDoc="1" locked="0" layoutInCell="1" allowOverlap="1">
                <wp:simplePos x="0" y="0"/>
                <wp:positionH relativeFrom="page">
                  <wp:posOffset>1017905</wp:posOffset>
                </wp:positionH>
                <wp:positionV relativeFrom="paragraph">
                  <wp:posOffset>133985</wp:posOffset>
                </wp:positionV>
                <wp:extent cx="5600700" cy="0"/>
                <wp:effectExtent l="0" t="0" r="0" b="0"/>
                <wp:wrapTopAndBottom/>
                <wp:docPr id="3" name="直线 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80.15pt;margin-top:10.55pt;height:0pt;width:441pt;mso-position-horizontal-relative:page;mso-wrap-distance-bottom:0pt;mso-wrap-distance-top:0pt;z-index:-251656192;mso-width-relative:page;mso-height-relative:page;" filled="f" stroked="t" coordsize="21600,21600" o:gfxdata="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pc0On1QAA&#10;AAoBAAAPAAAAAAAAAAEAIAAAACIAAABkcnMvZG93bnJldi54bWxQSwECFAAUAAAACACHTuJAalxn&#10;yegBAADbAwAADgAAAAAAAAABACAAAAAkAQAAZHJzL2Uyb0RvYy54bWxQSwUGAAAAAAYABgBZAQAA&#10;fgUAAAAA&#10;">
                <v:fill on="f" focussize="0,0"/>
                <v:stroke color="#000000" joinstyle="round"/>
                <v:imagedata o:title=""/>
                <o:lock v:ext="edit" aspectratio="f"/>
                <w10:wrap type="topAndBottom"/>
              </v:line>
            </w:pict>
          </mc:Fallback>
        </mc:AlternateContent>
      </w:r>
    </w:p>
    <w:sectPr>
      <w:headerReference r:id="rId5" w:type="default"/>
      <w:footerReference r:id="rId6" w:type="default"/>
      <w:pgSz w:w="11910" w:h="16840"/>
      <w:pgMar w:top="2041" w:right="1531" w:bottom="1701" w:left="1531" w:header="850" w:footer="1474" w:gutter="0"/>
      <w:pgNumType w:fmt="numberInDash"/>
      <w:cols w:equalWidth="0" w:num="1">
        <w:col w:w="8848"/>
      </w:cols>
      <w:rtlGutter w:val="0"/>
      <w:docGrid w:type="linesAndChars" w:linePitch="595" w:charSpace="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bordersDoNotSurroundHeader w:val="0"/>
  <w:bordersDoNotSurroundFooter w:val="0"/>
  <w:documentProtection w:enforcement="0"/>
  <w:defaultTabStop w:val="720"/>
  <w:drawingGridHorizontalSpacing w:val="111"/>
  <w:drawingGridVerticalSpacing w:val="298"/>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ZTExNjZmMjMyM2U2MjdiYzk4NzJhNDZiMzk5OGEifQ=="/>
  </w:docVars>
  <w:rsids>
    <w:rsidRoot w:val="00172A27"/>
    <w:rsid w:val="02DA4E9C"/>
    <w:rsid w:val="04B50D21"/>
    <w:rsid w:val="0521070F"/>
    <w:rsid w:val="07767206"/>
    <w:rsid w:val="0CC81662"/>
    <w:rsid w:val="0E4F53EA"/>
    <w:rsid w:val="111D544A"/>
    <w:rsid w:val="11594AE5"/>
    <w:rsid w:val="138121CC"/>
    <w:rsid w:val="139342A0"/>
    <w:rsid w:val="18FF1C8C"/>
    <w:rsid w:val="1B092838"/>
    <w:rsid w:val="1B560444"/>
    <w:rsid w:val="1F054920"/>
    <w:rsid w:val="20B84F09"/>
    <w:rsid w:val="24E80CA0"/>
    <w:rsid w:val="25010678"/>
    <w:rsid w:val="252364F0"/>
    <w:rsid w:val="2729335C"/>
    <w:rsid w:val="27573AB1"/>
    <w:rsid w:val="2A8408D5"/>
    <w:rsid w:val="2C8D1999"/>
    <w:rsid w:val="2CF45476"/>
    <w:rsid w:val="2D6755A6"/>
    <w:rsid w:val="2D966227"/>
    <w:rsid w:val="2F7F08F4"/>
    <w:rsid w:val="2FEE573B"/>
    <w:rsid w:val="31F453ED"/>
    <w:rsid w:val="32B362FC"/>
    <w:rsid w:val="33E171BE"/>
    <w:rsid w:val="34972E5B"/>
    <w:rsid w:val="34D41FAC"/>
    <w:rsid w:val="37713EB9"/>
    <w:rsid w:val="39873FD7"/>
    <w:rsid w:val="3B1F2F0D"/>
    <w:rsid w:val="3C7A711E"/>
    <w:rsid w:val="3E0241CF"/>
    <w:rsid w:val="3F78603A"/>
    <w:rsid w:val="3FF63D45"/>
    <w:rsid w:val="404963CE"/>
    <w:rsid w:val="46C41C30"/>
    <w:rsid w:val="4C8908C6"/>
    <w:rsid w:val="4ECA5A14"/>
    <w:rsid w:val="532B781E"/>
    <w:rsid w:val="545009F1"/>
    <w:rsid w:val="55756450"/>
    <w:rsid w:val="560C45DE"/>
    <w:rsid w:val="577C50E5"/>
    <w:rsid w:val="57DC1782"/>
    <w:rsid w:val="58A175E6"/>
    <w:rsid w:val="5B3B610F"/>
    <w:rsid w:val="5C7D6C90"/>
    <w:rsid w:val="611F6D88"/>
    <w:rsid w:val="64DE7056"/>
    <w:rsid w:val="677F50DB"/>
    <w:rsid w:val="710D2A25"/>
    <w:rsid w:val="72C13C88"/>
    <w:rsid w:val="756D6215"/>
    <w:rsid w:val="771D75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方正仿宋_GBK" w:hAnsi="方正仿宋_GBK" w:eastAsia="方正仿宋_GBK" w:cs="方正仿宋_GBK"/>
      <w:sz w:val="22"/>
      <w:szCs w:val="22"/>
      <w:lang w:val="zh-CN" w:eastAsia="zh-CN" w:bidi="zh-CN"/>
    </w:rPr>
  </w:style>
  <w:style w:type="paragraph" w:styleId="2">
    <w:name w:val="heading 1"/>
    <w:basedOn w:val="1"/>
    <w:next w:val="1"/>
    <w:qFormat/>
    <w:uiPriority w:val="1"/>
    <w:pPr>
      <w:ind w:left="825" w:right="813"/>
      <w:jc w:val="center"/>
      <w:outlineLvl w:val="1"/>
    </w:pPr>
    <w:rPr>
      <w:rFonts w:ascii="方正小标宋_GBK" w:hAnsi="方正小标宋_GBK" w:eastAsia="方正小标宋_GBK" w:cs="方正小标宋_GBK"/>
      <w:b/>
      <w:bCs/>
      <w:sz w:val="44"/>
      <w:szCs w:val="44"/>
      <w:lang w:val="zh-CN" w:eastAsia="zh-CN" w:bidi="zh-CN"/>
    </w:rPr>
  </w:style>
  <w:style w:type="character" w:default="1" w:styleId="9">
    <w:name w:val="Default Paragraph Font"/>
    <w:semiHidden/>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方正仿宋_GBK" w:hAnsi="方正仿宋_GBK" w:eastAsia="方正仿宋_GBK" w:cs="方正仿宋_GBK"/>
      <w:sz w:val="33"/>
      <w:szCs w:val="33"/>
      <w:lang w:val="zh-CN" w:eastAsia="zh-CN" w:bidi="zh-CN"/>
    </w:rPr>
  </w:style>
  <w:style w:type="paragraph" w:styleId="4">
    <w:name w:val="footer"/>
    <w:basedOn w:val="1"/>
    <w:unhideWhenUsed/>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7">
    <w:name w:val="toc 2"/>
    <w:basedOn w:val="1"/>
    <w:next w:val="1"/>
    <w:unhideWhenUsed/>
    <w:qFormat/>
    <w:uiPriority w:val="39"/>
    <w:pPr>
      <w:tabs>
        <w:tab w:val="right" w:leader="dot" w:pos="8296"/>
      </w:tabs>
      <w:ind w:left="420" w:leftChars="200"/>
    </w:pPr>
  </w:style>
  <w:style w:type="character" w:styleId="10">
    <w:name w:val="Hyperlink"/>
    <w:basedOn w:val="9"/>
    <w:unhideWhenUsed/>
    <w:qFormat/>
    <w:uiPriority w:val="99"/>
    <w:rPr>
      <w:color w:val="0000FF" w:themeColor="hyperlink"/>
      <w:u w:val="single"/>
      <w14:textFill>
        <w14:solidFill>
          <w14:schemeClr w14:val="hlink"/>
        </w14:solidFill>
      </w14:textFill>
    </w:rPr>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rPr>
      <w:lang w:val="zh-CN" w:eastAsia="zh-CN" w:bidi="zh-CN"/>
    </w:rPr>
  </w:style>
  <w:style w:type="paragraph" w:customStyle="1" w:styleId="13">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2809</Words>
  <Characters>3124</Characters>
  <Lines>1</Lines>
  <Paragraphs>1</Paragraphs>
  <TotalTime>0</TotalTime>
  <ScaleCrop>false</ScaleCrop>
  <LinksUpToDate>false</LinksUpToDate>
  <CharactersWithSpaces>3194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2019-03-13T01:06:00Z</dcterms:created>
  <dc:creator>微软用户</dc:creator>
  <cp:lastModifiedBy>田彬</cp:lastModifiedBy>
  <cp:lastPrinted>2019-07-03T03:59:00Z</cp:lastPrinted>
  <dcterms:modified xsi:type="dcterms:W3CDTF">2022-06-27T07:52:29Z</dcterms:modified>
  <dc:title>武胜县教育局</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2018-11-30T00:00:00Z</vt:filetime>
  </property>
  <property fmtid="{D5CDD505-2E9C-101B-9397-08002B2CF9AE}" pid="3" name="Creator">
    <vt:lpwstr>Microsoft® Word 2010</vt:lpwstr>
  </property>
  <property fmtid="{D5CDD505-2E9C-101B-9397-08002B2CF9AE}" pid="4" name="LastSaved">
    <vt:filetime>2019-03-13T00:00:00Z</vt:filetime>
  </property>
  <property fmtid="{D5CDD505-2E9C-101B-9397-08002B2CF9AE}" pid="5" name="KSOProductBuildVer">
    <vt:lpwstr>2052-11.1.0.11830</vt:lpwstr>
  </property>
  <property fmtid="{D5CDD505-2E9C-101B-9397-08002B2CF9AE}" pid="6" name="KSOSaveFontToCloudKey">
    <vt:lpwstr>354006591_btnclosed</vt:lpwstr>
  </property>
  <property fmtid="{D5CDD505-2E9C-101B-9397-08002B2CF9AE}" pid="7" name="ICV">
    <vt:lpwstr>91785EF8AD6243CB826B40480573A1F2</vt:lpwstr>
  </property>
</Properties>
</file>