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712" w:lineRule="exact"/>
        <w:ind w:left="0" w:leftChars="0" w:firstLine="0" w:firstLineChars="0"/>
        <w:jc w:val="center"/>
        <w:rPr>
          <w:rFonts w:hint="eastAsia"/>
          <w:color w:val="FF0000"/>
          <w:sz w:val="52"/>
          <w:szCs w:val="52"/>
          <w:lang w:eastAsia="zh-CN"/>
        </w:rPr>
      </w:pPr>
      <w:r>
        <w:rPr>
          <w:rFonts w:hint="eastAsia"/>
          <w:lang w:val="en-US" w:eastAsia="zh-CN"/>
        </w:rPr>
        <w:t xml:space="preserve">  </w:t>
      </w:r>
      <w:r>
        <w:rPr>
          <w:rFonts w:hint="eastAsia"/>
          <w:color w:val="FF0000"/>
          <w:lang w:val="en-US" w:eastAsia="zh-CN"/>
        </w:rPr>
        <w:t xml:space="preserve"> </w:t>
      </w:r>
      <w:r>
        <w:rPr>
          <w:color w:val="FF0000"/>
          <w:sz w:val="60"/>
          <w:szCs w:val="60"/>
        </w:rPr>
        <w:t>武胜县</w:t>
      </w:r>
      <w:r>
        <w:rPr>
          <w:rFonts w:hint="eastAsia"/>
          <w:color w:val="FF0000"/>
          <w:sz w:val="60"/>
          <w:szCs w:val="60"/>
          <w:lang w:eastAsia="zh-CN"/>
        </w:rPr>
        <w:t>五谷湾小学校</w:t>
      </w:r>
    </w:p>
    <w:p>
      <w:pPr>
        <w:pStyle w:val="2"/>
        <w:spacing w:line="712" w:lineRule="exact"/>
        <w:ind w:left="0" w:leftChars="0" w:firstLine="0" w:firstLineChars="0"/>
        <w:jc w:val="center"/>
      </w:pPr>
      <w:r>
        <w:rPr>
          <w:sz w:val="160"/>
          <w:szCs w:val="160"/>
        </w:rPr>
        <mc:AlternateContent>
          <mc:Choice Requires="wps">
            <w:drawing>
              <wp:anchor distT="0" distB="0" distL="114300" distR="114300" simplePos="0" relativeHeight="251661312" behindDoc="0" locked="0" layoutInCell="1" allowOverlap="1">
                <wp:simplePos x="0" y="0"/>
                <wp:positionH relativeFrom="column">
                  <wp:posOffset>-59690</wp:posOffset>
                </wp:positionH>
                <wp:positionV relativeFrom="paragraph">
                  <wp:posOffset>269240</wp:posOffset>
                </wp:positionV>
                <wp:extent cx="5742940" cy="19050"/>
                <wp:effectExtent l="0" t="0" r="10160" b="47625"/>
                <wp:wrapNone/>
                <wp:docPr id="4" name="直线 5"/>
                <wp:cNvGraphicFramePr/>
                <a:graphic xmlns:a="http://schemas.openxmlformats.org/drawingml/2006/main">
                  <a:graphicData uri="http://schemas.microsoft.com/office/word/2010/wordprocessingShape">
                    <wps:wsp>
                      <wps:cNvCnPr/>
                      <wps:spPr>
                        <a:xfrm flipV="1">
                          <a:off x="1038225" y="1724660"/>
                          <a:ext cx="5742940" cy="19050"/>
                        </a:xfrm>
                        <a:prstGeom prst="line">
                          <a:avLst/>
                        </a:prstGeom>
                        <a:solidFill>
                          <a:srgbClr val="FF0000"/>
                        </a:solidFill>
                        <a:ln w="63500">
                          <a:solidFill>
                            <a:srgbClr val="FF0000"/>
                          </a:solidFill>
                          <a:headEnd type="none" w="med" len="med"/>
                          <a:tailEnd type="none" w="med" len="med"/>
                        </a:ln>
                      </wps:spPr>
                      <wps:style>
                        <a:lnRef idx="1">
                          <a:schemeClr val="accent2"/>
                        </a:lnRef>
                        <a:fillRef idx="0">
                          <a:schemeClr val="accent2"/>
                        </a:fillRef>
                        <a:effectRef idx="0">
                          <a:schemeClr val="accent2"/>
                        </a:effectRef>
                        <a:fontRef idx="minor">
                          <a:schemeClr val="tx1"/>
                        </a:fontRef>
                      </wps:style>
                      <wps:bodyPr upright="1"/>
                    </wps:wsp>
                  </a:graphicData>
                </a:graphic>
              </wp:anchor>
            </w:drawing>
          </mc:Choice>
          <mc:Fallback>
            <w:pict>
              <v:line id="直线 5" o:spid="_x0000_s1026" o:spt="20" style="position:absolute;left:0pt;flip:y;margin-left:-4.7pt;margin-top:21.2pt;height:1.5pt;width:452.2pt;z-index:251661312;mso-width-relative:page;mso-height-relative:page;" fillcolor="#FF0000" filled="t" stroked="t" coordsize="21600,21600" o:gfxdata="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rFFxE2gAAAAgBAAAPAAAAAAAA&#10;AAEAIAAAACIAAABkcnMvZG93bnJldi54bWxQSwECFAAUAAAACACHTuJA9k0aNhACAAA1BAAADgAA&#10;AAAAAAABACAAAAApAQAAZHJzL2Uyb0RvYy54bWxQSwUGAAAAAAYABgBZAQAAqwUAAAAA&#10;">
                <v:fill on="t" focussize="0,0"/>
                <v:stroke weight="5pt" color="#FF0000 [3205]" joinstyle="round"/>
                <v:imagedata o:title=""/>
                <o:lock v:ext="edit" aspectratio="f"/>
              </v:line>
            </w:pict>
          </mc:Fallback>
        </mc:AlternateContent>
      </w:r>
      <w:r>
        <w:rPr>
          <w:sz w:val="160"/>
          <w:szCs w:val="160"/>
        </w:rPr>
        <mc:AlternateContent>
          <mc:Choice Requires="wps">
            <w:drawing>
              <wp:anchor distT="0" distB="0" distL="114300" distR="114300" simplePos="0" relativeHeight="251662336" behindDoc="0" locked="0" layoutInCell="1" allowOverlap="1">
                <wp:simplePos x="0" y="0"/>
                <wp:positionH relativeFrom="column">
                  <wp:posOffset>-78105</wp:posOffset>
                </wp:positionH>
                <wp:positionV relativeFrom="paragraph">
                  <wp:posOffset>364490</wp:posOffset>
                </wp:positionV>
                <wp:extent cx="5742305" cy="38100"/>
                <wp:effectExtent l="0" t="4445" r="10795" b="14605"/>
                <wp:wrapNone/>
                <wp:docPr id="5" name="直线 6"/>
                <wp:cNvGraphicFramePr/>
                <a:graphic xmlns:a="http://schemas.openxmlformats.org/drawingml/2006/main">
                  <a:graphicData uri="http://schemas.microsoft.com/office/word/2010/wordprocessingShape">
                    <wps:wsp>
                      <wps:cNvCnPr/>
                      <wps:spPr>
                        <a:xfrm flipV="1">
                          <a:off x="0" y="0"/>
                          <a:ext cx="5742305" cy="38100"/>
                        </a:xfrm>
                        <a:prstGeom prst="line">
                          <a:avLst/>
                        </a:prstGeom>
                        <a:ln w="9525" cap="flat" cmpd="sng">
                          <a:solidFill>
                            <a:srgbClr val="FF0000"/>
                          </a:solidFill>
                          <a:prstDash val="solid"/>
                          <a:headEnd type="none" w="med" len="med"/>
                          <a:tailEnd type="none" w="med" len="med"/>
                        </a:ln>
                      </wps:spPr>
                      <wps:bodyPr upright="1"/>
                    </wps:wsp>
                  </a:graphicData>
                </a:graphic>
              </wp:anchor>
            </w:drawing>
          </mc:Choice>
          <mc:Fallback>
            <w:pict>
              <v:line id="直线 6" o:spid="_x0000_s1026" o:spt="20" style="position:absolute;left:0pt;flip:y;margin-left:-6.15pt;margin-top:28.7pt;height:3pt;width:452.15pt;z-index:251662336;mso-width-relative:page;mso-height-relative:page;" filled="f" stroked="t" coordsize="21600,21600" o:gfxdata="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6//UB9oAAAAJAQAADwAAAAAAAAABACAAAAAiAAAAZHJzL2Rvd25yZXYueG1s&#10;UEsBAhQAFAAAAAgAh07iQHJduYL2AQAA6QMAAA4AAAAAAAAAAQAgAAAAKQEAAGRycy9lMm9Eb2Mu&#10;eG1sUEsFBgAAAAAGAAYAWQEAAJEFAAAAAA==&#10;">
                <v:fill on="f" focussize="0,0"/>
                <v:stroke color="#FF0000" joinstyle="round"/>
                <v:imagedata o:title=""/>
                <o:lock v:ext="edit" aspectratio="f"/>
              </v:line>
            </w:pict>
          </mc:Fallback>
        </mc:AlternateContent>
      </w:r>
    </w:p>
    <w:p>
      <w:pPr>
        <w:pStyle w:val="2"/>
        <w:spacing w:line="712" w:lineRule="exact"/>
        <w:ind w:left="0" w:leftChars="0" w:firstLine="0" w:firstLineChars="0"/>
        <w:jc w:val="center"/>
        <w:rPr>
          <w:rFonts w:hint="eastAsia"/>
          <w:lang w:val="en-US"/>
        </w:rPr>
      </w:pPr>
      <w:r>
        <w:rPr>
          <w:rFonts w:hint="default"/>
          <w:lang w:val="en-US"/>
        </w:rPr>
        <w:t xml:space="preserve">  </w:t>
      </w:r>
      <w:r>
        <w:rPr>
          <w:rFonts w:hint="eastAsia"/>
          <w:lang w:val="en-US"/>
        </w:rPr>
        <w:t>关于</w:t>
      </w:r>
      <w:r>
        <w:rPr>
          <w:rFonts w:hint="eastAsia"/>
          <w:lang w:val="en-US" w:eastAsia="zh-CN"/>
        </w:rPr>
        <w:t>2022年</w:t>
      </w:r>
      <w:r>
        <w:rPr>
          <w:rFonts w:hint="eastAsia"/>
          <w:lang w:val="en-US"/>
        </w:rPr>
        <w:t>部门预算</w:t>
      </w:r>
    </w:p>
    <w:p>
      <w:pPr>
        <w:pStyle w:val="2"/>
        <w:spacing w:line="712" w:lineRule="exact"/>
        <w:ind w:left="0" w:leftChars="0" w:firstLine="0" w:firstLineChars="0"/>
        <w:jc w:val="center"/>
        <w:rPr>
          <w:rFonts w:hint="eastAsia"/>
          <w:lang w:val="en-US"/>
        </w:rPr>
      </w:pPr>
      <w:r>
        <w:rPr>
          <w:rFonts w:hint="eastAsia"/>
          <w:lang w:val="en-US"/>
        </w:rPr>
        <w:t>编制的说明</w:t>
      </w:r>
    </w:p>
    <w:p>
      <w:pPr>
        <w:numPr>
          <w:ilvl w:val="0"/>
          <w:numId w:val="0"/>
        </w:numPr>
        <w:ind w:right="0" w:rightChars="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p>
    <w:p>
      <w:pPr>
        <w:numPr>
          <w:ilvl w:val="0"/>
          <w:numId w:val="0"/>
        </w:numPr>
        <w:ind w:leftChars="200" w:right="0" w:rightChars="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一、基本职能及主要工作</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五谷湾小学职能简介</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五谷湾小学为全日制义务教育学校，基本职能是实施小学义务教育，促进基础教育发展。</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五谷湾小学</w:t>
      </w:r>
      <w:r>
        <w:rPr>
          <w:rFonts w:hint="eastAsia" w:cs="方正仿宋_GBK"/>
          <w:b/>
          <w:bCs/>
          <w:sz w:val="33"/>
          <w:szCs w:val="33"/>
          <w:lang w:eastAsia="zh-CN"/>
        </w:rPr>
        <w:t>2022年</w:t>
      </w:r>
      <w:r>
        <w:rPr>
          <w:rFonts w:hint="eastAsia" w:ascii="方正仿宋_GBK" w:hAnsi="方正仿宋_GBK" w:eastAsia="方正仿宋_GBK" w:cs="方正仿宋_GBK"/>
          <w:b/>
          <w:bCs/>
          <w:sz w:val="33"/>
          <w:szCs w:val="33"/>
          <w:lang w:eastAsia="zh-CN"/>
        </w:rPr>
        <w:t>重点工作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val="0"/>
          <w:bCs w:val="0"/>
          <w:sz w:val="33"/>
          <w:szCs w:val="33"/>
          <w:lang w:eastAsia="zh-CN"/>
        </w:rPr>
        <w:t>加强师德师风建设，提高师资队伍素质。通过开展“作风整肃”活动，切实提高教师队伍的整体素质，不断增强中层干部的服务意识，班主任的责任意识，教师的奉献意识、学习意识、质量意识。</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坚持“五育合一”教育综合改革。学校要站高谋远，拟出</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教革工作要点，组织召开“五育合一”推进会，全体教师晒成绩、亮特色、推经验，找差距、添措施、补短板。</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val="0"/>
          <w:bCs w:val="0"/>
          <w:sz w:val="33"/>
          <w:szCs w:val="33"/>
          <w:lang w:eastAsia="zh-CN"/>
        </w:rPr>
        <w:t>扎实学校德育工作，培养学生文明素养。拓宽德育渠道，丰富德育内容，创新德育方法，密切家校联系，积极实施以“养成教育”、“七彩德育”为主题的德育教育活动。不断加强爱祖国、爱学习、爱劳动，节约粮食、节约用水、节约用电的“三爱三节”教育，不断加强毒品预防教育、劳动教育及校园文化建设。努力培育和践行社会主义核心价值观。</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val="0"/>
          <w:bCs w:val="0"/>
          <w:sz w:val="33"/>
          <w:szCs w:val="33"/>
          <w:lang w:eastAsia="zh-CN"/>
        </w:rPr>
        <w:t xml:space="preserve">规范教学管理，加强过程性督查考核，与教育教学质量挂钩，与日常的教育教学管理相结合，进一步规范教与学的行为，不断提高学科教学质量；立足课堂教学，加强学法研究，在研究中促提高、求发展。  </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val="0"/>
          <w:bCs w:val="0"/>
          <w:sz w:val="33"/>
          <w:szCs w:val="33"/>
          <w:lang w:eastAsia="zh-CN"/>
        </w:rPr>
        <w:t>加强信息技术的培训，充分发挥现代化的设备在学校管理、课堂教学中的辅助作用，巩固教育现代化创建的成果。</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（6）</w:t>
      </w:r>
      <w:r>
        <w:rPr>
          <w:rFonts w:hint="eastAsia" w:ascii="方正仿宋_GBK" w:hAnsi="方正仿宋_GBK" w:eastAsia="方正仿宋_GBK" w:cs="方正仿宋_GBK"/>
          <w:b w:val="0"/>
          <w:bCs w:val="0"/>
          <w:sz w:val="33"/>
          <w:szCs w:val="33"/>
          <w:lang w:eastAsia="zh-CN"/>
        </w:rPr>
        <w:t>深化课程改革，坚持课堂教学改革为重点，继续实施“四课同创”课改工程，严格执行四川省中小学减负“十严十不准”规定，大力抓好“翻转课堂”、“名师课堂”、“网络课堂”建设，常态开展阳光大课间、课外“3+N”和校外综合实践活动。持续推进“五育合一”。</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（7）</w:t>
      </w:r>
      <w:r>
        <w:rPr>
          <w:rFonts w:hint="eastAsia" w:ascii="方正仿宋_GBK" w:hAnsi="方正仿宋_GBK" w:eastAsia="方正仿宋_GBK" w:cs="方正仿宋_GBK"/>
          <w:b w:val="0"/>
          <w:bCs w:val="0"/>
          <w:sz w:val="33"/>
          <w:szCs w:val="33"/>
          <w:lang w:eastAsia="zh-CN"/>
        </w:rPr>
        <w:t>提升学校体育美育卫生国防教育水平，开齐开足课程，发挥我校阳光体育示范校作用，大力发展“三大球”（足球、篮球、和排球），帮助学生掌握两项体育和一项艺术技能。扎实推进“三进校园”活动，进一步加强学校健康教育、传染病防控和健康体检工作，重点抓好禽流感、结核病、艾滋病等防控，全面开展健康学校建设。</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二、部门预算单位构成</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sz w:val="33"/>
          <w:szCs w:val="33"/>
          <w:lang w:eastAsia="zh-CN"/>
        </w:rPr>
        <w:t>武胜县</w:t>
      </w:r>
      <w:r>
        <w:rPr>
          <w:rFonts w:hint="eastAsia" w:cs="方正仿宋_GBK"/>
          <w:sz w:val="33"/>
          <w:szCs w:val="33"/>
          <w:lang w:eastAsia="zh-CN"/>
        </w:rPr>
        <w:t>五谷湾</w:t>
      </w:r>
      <w:r>
        <w:rPr>
          <w:rFonts w:hint="eastAsia" w:ascii="方正仿宋_GBK" w:hAnsi="方正仿宋_GBK" w:eastAsia="方正仿宋_GBK" w:cs="方正仿宋_GBK"/>
          <w:sz w:val="33"/>
          <w:szCs w:val="33"/>
          <w:lang w:eastAsia="zh-CN"/>
        </w:rPr>
        <w:t>小学校</w:t>
      </w:r>
      <w:r>
        <w:rPr>
          <w:rFonts w:hint="eastAsia" w:ascii="方正仿宋_GBK" w:hAnsi="方正仿宋_GBK" w:eastAsia="方正仿宋_GBK" w:cs="方正仿宋_GBK"/>
          <w:sz w:val="33"/>
          <w:szCs w:val="33"/>
        </w:rPr>
        <w:t>为一级预算单位</w:t>
      </w:r>
      <w:r>
        <w:rPr>
          <w:rFonts w:hint="eastAsia" w:ascii="方正仿宋_GBK" w:hAnsi="方正仿宋_GBK" w:eastAsia="方正仿宋_GBK" w:cs="方正仿宋_GBK"/>
          <w:b w:val="0"/>
          <w:bCs w:val="0"/>
          <w:sz w:val="33"/>
          <w:szCs w:val="33"/>
          <w:lang w:eastAsia="zh-CN"/>
        </w:rPr>
        <w:t>，有在职教职员工2</w:t>
      </w:r>
      <w:r>
        <w:rPr>
          <w:rFonts w:hint="eastAsia" w:cs="方正仿宋_GBK"/>
          <w:b w:val="0"/>
          <w:bCs w:val="0"/>
          <w:sz w:val="33"/>
          <w:szCs w:val="33"/>
          <w:lang w:val="en-US" w:eastAsia="zh-CN"/>
        </w:rPr>
        <w:t>1</w:t>
      </w:r>
      <w:r>
        <w:rPr>
          <w:rFonts w:hint="eastAsia" w:ascii="方正仿宋_GBK" w:hAnsi="方正仿宋_GBK" w:eastAsia="方正仿宋_GBK" w:cs="方正仿宋_GBK"/>
          <w:b w:val="0"/>
          <w:bCs w:val="0"/>
          <w:sz w:val="33"/>
          <w:szCs w:val="33"/>
          <w:lang w:eastAsia="zh-CN"/>
        </w:rPr>
        <w:t>人，其中专任教师2</w:t>
      </w:r>
      <w:r>
        <w:rPr>
          <w:rFonts w:hint="eastAsia" w:cs="方正仿宋_GBK"/>
          <w:b w:val="0"/>
          <w:bCs w:val="0"/>
          <w:sz w:val="33"/>
          <w:szCs w:val="33"/>
          <w:lang w:val="en-US" w:eastAsia="zh-CN"/>
        </w:rPr>
        <w:t>0</w:t>
      </w:r>
      <w:r>
        <w:rPr>
          <w:rFonts w:hint="eastAsia" w:ascii="方正仿宋_GBK" w:hAnsi="方正仿宋_GBK" w:eastAsia="方正仿宋_GBK" w:cs="方正仿宋_GBK"/>
          <w:b w:val="0"/>
          <w:bCs w:val="0"/>
          <w:sz w:val="33"/>
          <w:szCs w:val="33"/>
          <w:lang w:eastAsia="zh-CN"/>
        </w:rPr>
        <w:t>人；工勤人员1人；有退休教师1</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人；遗属人员4人；本校设有行政办、后勤办、安办。</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三、收支预算情况说明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综合预算的原则，五谷湾小学所有收入和支出均纳入部门预算管理。收入主要包括：一般公共预算拨款收入；支出包括：教育支出、社会保障和就业支出、医疗卫生与计划生育支出、住房保障支出。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收支总预算</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收入预算情况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收入预算</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万元，其中：一般公共预算拨款收入</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支出预算情况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支出预算</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万元，其中：基本支出</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万元，占100%。</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四、财政拨款收支预算情况说明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学校</w:t>
      </w:r>
      <w:r>
        <w:rPr>
          <w:rFonts w:hint="eastAsia" w:cs="方正仿宋_GBK"/>
          <w:b w:val="0"/>
          <w:bCs w:val="0"/>
          <w:sz w:val="33"/>
          <w:szCs w:val="33"/>
          <w:lang w:eastAsia="zh-CN"/>
        </w:rPr>
        <w:t>2022</w:t>
      </w:r>
      <w:r>
        <w:rPr>
          <w:rFonts w:hint="eastAsia" w:cs="方正仿宋_GBK"/>
          <w:b w:val="0"/>
          <w:bCs w:val="0"/>
          <w:sz w:val="33"/>
          <w:szCs w:val="33"/>
          <w:lang w:val="en-US" w:eastAsia="zh-CN"/>
        </w:rPr>
        <w:t>年</w:t>
      </w:r>
      <w:r>
        <w:rPr>
          <w:rFonts w:hint="eastAsia" w:ascii="方正仿宋_GBK" w:hAnsi="方正仿宋_GBK" w:eastAsia="方正仿宋_GBK" w:cs="方正仿宋_GBK"/>
          <w:b w:val="0"/>
          <w:bCs w:val="0"/>
          <w:sz w:val="33"/>
          <w:szCs w:val="33"/>
          <w:lang w:eastAsia="zh-CN"/>
        </w:rPr>
        <w:t>财政拨款收支总预算</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万元。收入包括：本年一般公共预算拨款收入</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万元；支出包括：教育支出</w:t>
      </w:r>
      <w:r>
        <w:rPr>
          <w:rFonts w:hint="eastAsia" w:cs="方正仿宋_GBK"/>
          <w:b w:val="0"/>
          <w:bCs w:val="0"/>
          <w:sz w:val="33"/>
          <w:szCs w:val="33"/>
          <w:lang w:val="en-US" w:eastAsia="zh-CN"/>
        </w:rPr>
        <w:t>171.04</w:t>
      </w:r>
      <w:r>
        <w:rPr>
          <w:rFonts w:hint="eastAsia" w:ascii="方正仿宋_GBK" w:hAnsi="方正仿宋_GBK" w:eastAsia="方正仿宋_GBK" w:cs="方正仿宋_GBK"/>
          <w:b w:val="0"/>
          <w:bCs w:val="0"/>
          <w:sz w:val="33"/>
          <w:szCs w:val="33"/>
          <w:lang w:eastAsia="zh-CN"/>
        </w:rPr>
        <w:t>万元、社会保障和就业支出</w:t>
      </w:r>
      <w:r>
        <w:rPr>
          <w:rFonts w:hint="eastAsia" w:cs="方正仿宋_GBK"/>
          <w:b w:val="0"/>
          <w:bCs w:val="0"/>
          <w:sz w:val="33"/>
          <w:szCs w:val="33"/>
          <w:lang w:val="en-US" w:eastAsia="zh-CN"/>
        </w:rPr>
        <w:t>23.83</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w:t>
      </w:r>
      <w:r>
        <w:rPr>
          <w:rFonts w:hint="eastAsia" w:cs="方正仿宋_GBK"/>
          <w:b w:val="0"/>
          <w:bCs w:val="0"/>
          <w:sz w:val="33"/>
          <w:szCs w:val="33"/>
          <w:lang w:val="en-US" w:eastAsia="zh-CN"/>
        </w:rPr>
        <w:t>14.78</w:t>
      </w:r>
      <w:r>
        <w:rPr>
          <w:rFonts w:hint="eastAsia" w:ascii="方正仿宋_GBK" w:hAnsi="方正仿宋_GBK" w:eastAsia="方正仿宋_GBK" w:cs="方正仿宋_GBK"/>
          <w:b w:val="0"/>
          <w:bCs w:val="0"/>
          <w:sz w:val="33"/>
          <w:szCs w:val="33"/>
          <w:lang w:eastAsia="zh-CN"/>
        </w:rPr>
        <w:t>万元、住房保障支出</w:t>
      </w:r>
      <w:r>
        <w:rPr>
          <w:rFonts w:hint="eastAsia" w:cs="方正仿宋_GBK"/>
          <w:b w:val="0"/>
          <w:bCs w:val="0"/>
          <w:sz w:val="33"/>
          <w:szCs w:val="33"/>
          <w:lang w:val="en-US" w:eastAsia="zh-CN"/>
        </w:rPr>
        <w:t>17.88</w:t>
      </w:r>
      <w:r>
        <w:rPr>
          <w:rFonts w:hint="eastAsia" w:ascii="方正仿宋_GBK" w:hAnsi="方正仿宋_GBK" w:eastAsia="方正仿宋_GBK" w:cs="方正仿宋_GBK"/>
          <w:b w:val="0"/>
          <w:bCs w:val="0"/>
          <w:sz w:val="33"/>
          <w:szCs w:val="33"/>
          <w:lang w:eastAsia="zh-CN"/>
        </w:rPr>
        <w:t>万元。</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五、一般公共预算当年拨款情况说明</w:t>
      </w:r>
    </w:p>
    <w:p>
      <w:pPr>
        <w:numPr>
          <w:ilvl w:val="0"/>
          <w:numId w:val="0"/>
        </w:numPr>
        <w:ind w:right="0" w:rightChars="0" w:firstLine="662" w:firstLineChars="200"/>
        <w:rPr>
          <w:rFonts w:hint="eastAsia" w:ascii="方正仿宋_GBK" w:hAnsi="方正仿宋_GBK" w:eastAsia="方正仿宋_GBK" w:cs="方正仿宋_GBK"/>
          <w:b/>
          <w:bCs/>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一般公共预算当年拨款规模变化情况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一般公共预算当年拨款</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万元，比20</w:t>
      </w:r>
      <w:r>
        <w:rPr>
          <w:rFonts w:hint="eastAsia" w:cs="方正仿宋_GBK"/>
          <w:b w:val="0"/>
          <w:bCs w:val="0"/>
          <w:sz w:val="33"/>
          <w:szCs w:val="33"/>
          <w:lang w:val="en-US" w:eastAsia="zh-CN"/>
        </w:rPr>
        <w:t>20</w:t>
      </w:r>
      <w:r>
        <w:rPr>
          <w:rFonts w:hint="eastAsia" w:ascii="方正仿宋_GBK" w:hAnsi="方正仿宋_GBK" w:eastAsia="方正仿宋_GBK" w:cs="方正仿宋_GBK"/>
          <w:b w:val="0"/>
          <w:bCs w:val="0"/>
          <w:sz w:val="33"/>
          <w:szCs w:val="33"/>
          <w:lang w:eastAsia="zh-CN"/>
        </w:rPr>
        <w:t>年预算数</w:t>
      </w:r>
      <w:r>
        <w:rPr>
          <w:rFonts w:hint="eastAsia" w:cs="方正仿宋_GBK"/>
          <w:b w:val="0"/>
          <w:bCs w:val="0"/>
          <w:sz w:val="33"/>
          <w:szCs w:val="33"/>
          <w:lang w:val="en-US" w:eastAsia="zh-CN"/>
        </w:rPr>
        <w:t>减少10.96</w:t>
      </w:r>
      <w:r>
        <w:rPr>
          <w:rFonts w:hint="eastAsia" w:ascii="方正仿宋_GBK" w:hAnsi="方正仿宋_GBK" w:eastAsia="方正仿宋_GBK" w:cs="方正仿宋_GBK"/>
          <w:b w:val="0"/>
          <w:bCs w:val="0"/>
          <w:sz w:val="33"/>
          <w:szCs w:val="33"/>
          <w:lang w:eastAsia="zh-CN"/>
        </w:rPr>
        <w:t>万元，主要原因是</w:t>
      </w:r>
      <w:r>
        <w:rPr>
          <w:rFonts w:hint="eastAsia" w:cs="方正仿宋_GBK"/>
          <w:b w:val="0"/>
          <w:bCs w:val="0"/>
          <w:sz w:val="33"/>
          <w:szCs w:val="33"/>
          <w:lang w:val="en-US" w:eastAsia="zh-CN"/>
        </w:rPr>
        <w:t>调出教师一人</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教育支出</w:t>
      </w:r>
      <w:r>
        <w:rPr>
          <w:rFonts w:hint="eastAsia" w:ascii="方正仿宋_GBK" w:hAnsi="方正仿宋_GBK" w:eastAsia="方正仿宋_GBK" w:cs="方正仿宋_GBK"/>
          <w:b w:val="0"/>
          <w:bCs w:val="0"/>
          <w:sz w:val="33"/>
          <w:szCs w:val="33"/>
          <w:lang w:eastAsia="zh-CN"/>
        </w:rPr>
        <w:t>171.04万元，占7</w:t>
      </w:r>
      <w:r>
        <w:rPr>
          <w:rFonts w:hint="eastAsia" w:cs="方正仿宋_GBK"/>
          <w:b w:val="0"/>
          <w:bCs w:val="0"/>
          <w:sz w:val="33"/>
          <w:szCs w:val="33"/>
          <w:lang w:val="en-US" w:eastAsia="zh-CN"/>
        </w:rPr>
        <w:t>5</w:t>
      </w:r>
      <w:r>
        <w:rPr>
          <w:rFonts w:hint="eastAsia" w:ascii="方正仿宋_GBK" w:hAnsi="方正仿宋_GBK" w:eastAsia="方正仿宋_GBK" w:cs="方正仿宋_GBK"/>
          <w:b w:val="0"/>
          <w:bCs w:val="0"/>
          <w:sz w:val="33"/>
          <w:szCs w:val="33"/>
          <w:lang w:eastAsia="zh-CN"/>
        </w:rPr>
        <w:t>%、社会保障和就业支出</w:t>
      </w:r>
      <w:r>
        <w:rPr>
          <w:rFonts w:hint="eastAsia" w:cs="方正仿宋_GBK"/>
          <w:b w:val="0"/>
          <w:bCs w:val="0"/>
          <w:sz w:val="33"/>
          <w:szCs w:val="33"/>
          <w:lang w:val="en-US" w:eastAsia="zh-CN"/>
        </w:rPr>
        <w:t>23.83</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10</w:t>
      </w:r>
      <w:r>
        <w:rPr>
          <w:rFonts w:hint="eastAsia" w:ascii="方正仿宋_GBK" w:hAnsi="方正仿宋_GBK" w:eastAsia="方正仿宋_GBK" w:cs="方正仿宋_GBK"/>
          <w:b w:val="0"/>
          <w:bCs w:val="0"/>
          <w:sz w:val="33"/>
          <w:szCs w:val="33"/>
          <w:lang w:eastAsia="zh-CN"/>
        </w:rPr>
        <w:t>%、</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w:t>
      </w:r>
      <w:r>
        <w:rPr>
          <w:rFonts w:hint="eastAsia" w:cs="方正仿宋_GBK"/>
          <w:b w:val="0"/>
          <w:bCs w:val="0"/>
          <w:sz w:val="33"/>
          <w:szCs w:val="33"/>
          <w:lang w:val="en-US" w:eastAsia="zh-CN"/>
        </w:rPr>
        <w:t>14.78</w:t>
      </w:r>
      <w:r>
        <w:rPr>
          <w:rFonts w:hint="eastAsia" w:ascii="方正仿宋_GBK" w:hAnsi="方正仿宋_GBK" w:eastAsia="方正仿宋_GBK" w:cs="方正仿宋_GBK"/>
          <w:b w:val="0"/>
          <w:bCs w:val="0"/>
          <w:sz w:val="33"/>
          <w:szCs w:val="33"/>
          <w:lang w:eastAsia="zh-CN"/>
        </w:rPr>
        <w:t>万元，</w:t>
      </w:r>
      <w:r>
        <w:rPr>
          <w:rFonts w:hint="eastAsia" w:cs="方正仿宋_GBK"/>
          <w:b w:val="0"/>
          <w:bCs w:val="0"/>
          <w:sz w:val="33"/>
          <w:szCs w:val="33"/>
          <w:lang w:eastAsia="zh-CN"/>
        </w:rPr>
        <w:t>占</w:t>
      </w:r>
      <w:r>
        <w:rPr>
          <w:rFonts w:hint="eastAsia" w:cs="方正仿宋_GBK"/>
          <w:b w:val="0"/>
          <w:bCs w:val="0"/>
          <w:sz w:val="33"/>
          <w:szCs w:val="33"/>
          <w:lang w:val="en-US" w:eastAsia="zh-CN"/>
        </w:rPr>
        <w:t>7</w:t>
      </w:r>
      <w:r>
        <w:rPr>
          <w:rFonts w:hint="eastAsia" w:ascii="方正仿宋_GBK" w:hAnsi="方正仿宋_GBK" w:eastAsia="方正仿宋_GBK" w:cs="方正仿宋_GBK"/>
          <w:b w:val="0"/>
          <w:bCs w:val="0"/>
          <w:sz w:val="33"/>
          <w:szCs w:val="33"/>
          <w:lang w:eastAsia="zh-CN"/>
        </w:rPr>
        <w:t>%、住房保障支出</w:t>
      </w:r>
      <w:r>
        <w:rPr>
          <w:rFonts w:hint="eastAsia" w:cs="方正仿宋_GBK"/>
          <w:b w:val="0"/>
          <w:bCs w:val="0"/>
          <w:sz w:val="33"/>
          <w:szCs w:val="33"/>
          <w:lang w:val="en-US" w:eastAsia="zh-CN"/>
        </w:rPr>
        <w:t>17.88</w:t>
      </w:r>
      <w:r>
        <w:rPr>
          <w:rFonts w:hint="eastAsia" w:ascii="方正仿宋_GBK" w:hAnsi="方正仿宋_GBK" w:eastAsia="方正仿宋_GBK" w:cs="方正仿宋_GBK"/>
          <w:b w:val="0"/>
          <w:bCs w:val="0"/>
          <w:sz w:val="33"/>
          <w:szCs w:val="33"/>
          <w:lang w:eastAsia="zh-CN"/>
        </w:rPr>
        <w:t>万元，占</w:t>
      </w:r>
      <w:r>
        <w:rPr>
          <w:rFonts w:hint="eastAsia" w:cs="方正仿宋_GBK"/>
          <w:b w:val="0"/>
          <w:bCs w:val="0"/>
          <w:sz w:val="33"/>
          <w:szCs w:val="33"/>
          <w:lang w:val="en-US" w:eastAsia="zh-CN"/>
        </w:rPr>
        <w:t>8</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xml:space="preserve"> </w:t>
      </w: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一般公共预算当年拨款具体使用情况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val="0"/>
          <w:bCs w:val="0"/>
          <w:sz w:val="33"/>
          <w:szCs w:val="33"/>
          <w:lang w:eastAsia="zh-CN"/>
        </w:rPr>
        <w:t>教育支出（类）普通教育（款）小学教育（项）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预算数为171.04万元，主要用于：五谷湾小学教职工基本工资、津补贴等基本支出。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社会保障和就业支出（类）行政事业单位（款）机关事业单位基本养老保险（项）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23.83</w:t>
      </w:r>
      <w:r>
        <w:rPr>
          <w:rFonts w:hint="eastAsia" w:ascii="方正仿宋_GBK" w:hAnsi="方正仿宋_GBK" w:eastAsia="方正仿宋_GBK" w:cs="方正仿宋_GBK"/>
          <w:b w:val="0"/>
          <w:bCs w:val="0"/>
          <w:sz w:val="33"/>
          <w:szCs w:val="33"/>
          <w:lang w:eastAsia="zh-CN"/>
        </w:rPr>
        <w:t>万元，主要用于五谷湾小学教职工养老保险缴费。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val="0"/>
          <w:bCs w:val="0"/>
          <w:sz w:val="33"/>
          <w:szCs w:val="33"/>
          <w:lang w:eastAsia="zh-CN"/>
        </w:rPr>
        <w:t>卫生健康支出（类）行政事业单位医疗（款）事业单位医疗（项）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9.68</w:t>
      </w:r>
      <w:r>
        <w:rPr>
          <w:rFonts w:hint="eastAsia" w:ascii="方正仿宋_GBK" w:hAnsi="方正仿宋_GBK" w:eastAsia="方正仿宋_GBK" w:cs="方正仿宋_GBK"/>
          <w:b w:val="0"/>
          <w:bCs w:val="0"/>
          <w:sz w:val="33"/>
          <w:szCs w:val="33"/>
          <w:lang w:eastAsia="zh-CN"/>
        </w:rPr>
        <w:t>万元，主要用于：五谷湾小学教职工基本医疗保险缴费。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cs="方正仿宋_GBK"/>
          <w:b w:val="0"/>
          <w:bCs w:val="0"/>
          <w:sz w:val="33"/>
          <w:szCs w:val="33"/>
          <w:lang w:eastAsia="zh-CN"/>
        </w:rPr>
        <w:t>卫生健康</w:t>
      </w:r>
      <w:r>
        <w:rPr>
          <w:rFonts w:hint="eastAsia" w:ascii="方正仿宋_GBK" w:hAnsi="方正仿宋_GBK" w:eastAsia="方正仿宋_GBK" w:cs="方正仿宋_GBK"/>
          <w:b w:val="0"/>
          <w:bCs w:val="0"/>
          <w:sz w:val="33"/>
          <w:szCs w:val="33"/>
          <w:lang w:eastAsia="zh-CN"/>
        </w:rPr>
        <w:t>支出（类）行政事业单位医疗（款）其他行政事业单位医疗支出（项）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val="en-US" w:eastAsia="zh-CN"/>
        </w:rPr>
        <w:t>1.49</w:t>
      </w:r>
      <w:r>
        <w:rPr>
          <w:rFonts w:hint="eastAsia" w:ascii="方正仿宋_GBK" w:hAnsi="方正仿宋_GBK" w:eastAsia="方正仿宋_GBK" w:cs="方正仿宋_GBK"/>
          <w:b w:val="0"/>
          <w:bCs w:val="0"/>
          <w:sz w:val="33"/>
          <w:szCs w:val="33"/>
          <w:lang w:eastAsia="zh-CN"/>
        </w:rPr>
        <w:t>万元，主要用于：五谷湾小学</w:t>
      </w:r>
      <w:r>
        <w:rPr>
          <w:rFonts w:hint="eastAsia" w:ascii="方正仿宋_GBK" w:hAnsi="方正仿宋_GBK" w:eastAsia="方正仿宋_GBK" w:cs="方正仿宋_GBK"/>
          <w:b w:val="0"/>
          <w:bCs w:val="0"/>
          <w:sz w:val="33"/>
          <w:szCs w:val="33"/>
          <w:lang w:val="en-US" w:eastAsia="zh-CN"/>
        </w:rPr>
        <w:t>教职工大病医疗保险缴费和退休人员公务员医疗补助</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（5）</w:t>
      </w:r>
      <w:r>
        <w:rPr>
          <w:rFonts w:hint="eastAsia" w:ascii="方正仿宋_GBK" w:hAnsi="方正仿宋_GBK" w:eastAsia="方正仿宋_GBK" w:cs="方正仿宋_GBK"/>
          <w:b w:val="0"/>
          <w:bCs w:val="0"/>
          <w:sz w:val="33"/>
          <w:szCs w:val="33"/>
          <w:lang w:eastAsia="zh-CN"/>
        </w:rPr>
        <w:t>住房保障支出（类）住房改革支出（款）住房公积金（项）</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预算数为</w:t>
      </w:r>
      <w:r>
        <w:rPr>
          <w:rFonts w:hint="eastAsia" w:cs="方正仿宋_GBK"/>
          <w:b w:val="0"/>
          <w:bCs w:val="0"/>
          <w:sz w:val="33"/>
          <w:szCs w:val="33"/>
          <w:lang w:eastAsia="zh-CN"/>
        </w:rPr>
        <w:t>17.88</w:t>
      </w:r>
      <w:r>
        <w:rPr>
          <w:rFonts w:hint="eastAsia" w:ascii="方正仿宋_GBK" w:hAnsi="方正仿宋_GBK" w:eastAsia="方正仿宋_GBK" w:cs="方正仿宋_GBK"/>
          <w:b w:val="0"/>
          <w:bCs w:val="0"/>
          <w:sz w:val="33"/>
          <w:szCs w:val="33"/>
          <w:lang w:eastAsia="zh-CN"/>
        </w:rPr>
        <w:t>万元，主要用于：五谷湾小学教职工按广安市人力资源和社会保障局、财政局规定的基本工资和津贴补贴以及规定比例为职工缴纳的住房公积金。</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六、一般公共预算基本支出情况说明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一般公共预算基本支出</w:t>
      </w:r>
      <w:r>
        <w:rPr>
          <w:rFonts w:hint="eastAsia" w:cs="方正仿宋_GBK"/>
          <w:b w:val="0"/>
          <w:bCs w:val="0"/>
          <w:sz w:val="33"/>
          <w:szCs w:val="33"/>
          <w:lang w:val="en-US" w:eastAsia="zh-CN"/>
        </w:rPr>
        <w:t>227.53</w:t>
      </w:r>
      <w:r>
        <w:rPr>
          <w:rFonts w:hint="eastAsia" w:ascii="方正仿宋_GBK" w:hAnsi="方正仿宋_GBK" w:eastAsia="方正仿宋_GBK" w:cs="方正仿宋_GBK"/>
          <w:b w:val="0"/>
          <w:bCs w:val="0"/>
          <w:sz w:val="33"/>
          <w:szCs w:val="33"/>
          <w:lang w:eastAsia="zh-CN"/>
        </w:rPr>
        <w:t>万元，其中：</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人员经费</w:t>
      </w:r>
      <w:r>
        <w:rPr>
          <w:rFonts w:hint="eastAsia" w:cs="方正仿宋_GBK"/>
          <w:b w:val="0"/>
          <w:bCs w:val="0"/>
          <w:sz w:val="33"/>
          <w:szCs w:val="33"/>
          <w:lang w:val="en-US" w:eastAsia="zh-CN"/>
        </w:rPr>
        <w:t>226.04</w:t>
      </w:r>
      <w:r>
        <w:rPr>
          <w:rFonts w:hint="eastAsia" w:ascii="方正仿宋_GBK" w:hAnsi="方正仿宋_GBK" w:eastAsia="方正仿宋_GBK" w:cs="方正仿宋_GBK"/>
          <w:b w:val="0"/>
          <w:bCs w:val="0"/>
          <w:sz w:val="33"/>
          <w:szCs w:val="33"/>
          <w:lang w:eastAsia="zh-CN"/>
        </w:rPr>
        <w:t>万元，主要包括：基本工资、津贴补贴、奖金、其他社会保障缴费、绩效工资、机关事业单位基本养老保险缴费、其他工资福利支出、遗属生活补助、住房公积金缴费。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公用经费1.49万元，主要包括：工会经费。其余的公用经费支出没有纳入本年学校预算。具体详见本年决算对应数据。</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七、“三公”经费财政拨款预算安排情况说明</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未安排“三公”经费财政拨款预算.</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八、政府性基金预算支出情况说明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五谷湾小学</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未安排政府性基金预算。</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黑体_GBK" w:hAnsi="方正黑体_GBK" w:eastAsia="方正黑体_GBK" w:cs="方正黑体_GBK"/>
          <w:sz w:val="33"/>
          <w:szCs w:val="33"/>
          <w:lang w:val="en-US" w:eastAsia="zh-CN"/>
        </w:rPr>
        <w:t>九、其他重要事项的情况说明</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政府采购情况</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　　</w:t>
      </w:r>
      <w:r>
        <w:rPr>
          <w:rFonts w:hint="eastAsia" w:cs="方正仿宋_GBK"/>
          <w:b w:val="0"/>
          <w:bCs w:val="0"/>
          <w:sz w:val="33"/>
          <w:szCs w:val="33"/>
          <w:lang w:eastAsia="zh-CN"/>
        </w:rPr>
        <w:t>2022年</w:t>
      </w:r>
      <w:r>
        <w:rPr>
          <w:rFonts w:hint="eastAsia" w:cs="方正仿宋_GBK"/>
          <w:b w:val="0"/>
          <w:bCs w:val="0"/>
          <w:sz w:val="33"/>
          <w:szCs w:val="33"/>
          <w:lang w:val="en-US" w:eastAsia="zh-CN"/>
        </w:rPr>
        <w:t>未安排政府采购</w:t>
      </w:r>
      <w:r>
        <w:rPr>
          <w:rFonts w:hint="eastAsia" w:ascii="方正仿宋_GBK" w:hAnsi="方正仿宋_GBK" w:eastAsia="方正仿宋_GBK" w:cs="方正仿宋_GBK"/>
          <w:b w:val="0"/>
          <w:bCs w:val="0"/>
          <w:sz w:val="33"/>
          <w:szCs w:val="33"/>
          <w:lang w:eastAsia="zh-CN"/>
        </w:rPr>
        <w:t>。</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val="0"/>
          <w:bCs w:val="0"/>
          <w:sz w:val="33"/>
          <w:szCs w:val="33"/>
          <w:lang w:eastAsia="zh-CN"/>
        </w:rPr>
        <w:t>学生生均公用经费</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ascii="方正仿宋_GBK" w:hAnsi="方正仿宋_GBK" w:eastAsia="方正仿宋_GBK" w:cs="方正仿宋_GBK"/>
          <w:b w:val="0"/>
          <w:bCs w:val="0"/>
          <w:sz w:val="33"/>
          <w:szCs w:val="33"/>
          <w:lang w:eastAsia="zh-CN"/>
        </w:rPr>
        <w:t>按照我县部门预算要求，我县</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学校生均公用经费拨款收支均未纳入部门预算。具体收入、支出明细情况将在我校</w:t>
      </w:r>
      <w:r>
        <w:rPr>
          <w:rFonts w:hint="eastAsia" w:cs="方正仿宋_GBK"/>
          <w:b w:val="0"/>
          <w:bCs w:val="0"/>
          <w:sz w:val="33"/>
          <w:szCs w:val="33"/>
          <w:lang w:eastAsia="zh-CN"/>
        </w:rPr>
        <w:t>2022年</w:t>
      </w:r>
      <w:r>
        <w:rPr>
          <w:rFonts w:hint="eastAsia" w:ascii="方正仿宋_GBK" w:hAnsi="方正仿宋_GBK" w:eastAsia="方正仿宋_GBK" w:cs="方正仿宋_GBK"/>
          <w:b w:val="0"/>
          <w:bCs w:val="0"/>
          <w:sz w:val="33"/>
          <w:szCs w:val="33"/>
          <w:lang w:eastAsia="zh-CN"/>
        </w:rPr>
        <w:t>部门决算公开资料中体现。</w:t>
      </w:r>
    </w:p>
    <w:p>
      <w:pPr>
        <w:numPr>
          <w:ilvl w:val="0"/>
          <w:numId w:val="0"/>
        </w:numPr>
        <w:ind w:right="0" w:rightChars="0" w:firstLine="662" w:firstLineChars="200"/>
        <w:rPr>
          <w:rFonts w:hint="eastAsia" w:ascii="方正黑体_GBK" w:hAnsi="方正黑体_GBK" w:eastAsia="方正黑体_GBK" w:cs="方正黑体_GBK"/>
          <w:sz w:val="33"/>
          <w:szCs w:val="33"/>
          <w:lang w:val="en-US" w:eastAsia="zh-CN"/>
        </w:rPr>
      </w:pPr>
      <w:r>
        <w:rPr>
          <w:rFonts w:hint="eastAsia" w:ascii="方正黑体_GBK" w:hAnsi="方正黑体_GBK" w:eastAsia="方正黑体_GBK" w:cs="方正黑体_GBK"/>
          <w:sz w:val="33"/>
          <w:szCs w:val="33"/>
          <w:lang w:val="en-US" w:eastAsia="zh-CN"/>
        </w:rPr>
        <w:t>十、名词解释</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1.</w:t>
      </w:r>
      <w:r>
        <w:rPr>
          <w:rFonts w:hint="eastAsia" w:ascii="方正仿宋_GBK" w:hAnsi="方正仿宋_GBK" w:eastAsia="方正仿宋_GBK" w:cs="方正仿宋_GBK"/>
          <w:b/>
          <w:bCs/>
          <w:sz w:val="33"/>
          <w:szCs w:val="33"/>
          <w:lang w:eastAsia="zh-CN"/>
        </w:rPr>
        <w:t>财政拨款收入：</w:t>
      </w:r>
      <w:r>
        <w:rPr>
          <w:rFonts w:hint="eastAsia" w:ascii="方正仿宋_GBK" w:hAnsi="方正仿宋_GBK" w:eastAsia="方正仿宋_GBK" w:cs="方正仿宋_GBK"/>
          <w:b w:val="0"/>
          <w:bCs w:val="0"/>
          <w:sz w:val="33"/>
          <w:szCs w:val="33"/>
          <w:lang w:eastAsia="zh-CN"/>
        </w:rPr>
        <w:t>指县财政当年通过部门预算拨付的财政资金。包括一般公共预算拨款收入和政府性基金预算拨款收入。</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2.</w:t>
      </w:r>
      <w:r>
        <w:rPr>
          <w:rFonts w:hint="eastAsia" w:ascii="方正仿宋_GBK" w:hAnsi="方正仿宋_GBK" w:eastAsia="方正仿宋_GBK" w:cs="方正仿宋_GBK"/>
          <w:b/>
          <w:bCs/>
          <w:sz w:val="33"/>
          <w:szCs w:val="33"/>
          <w:lang w:eastAsia="zh-CN"/>
        </w:rPr>
        <w:t>基本支出：</w:t>
      </w:r>
      <w:r>
        <w:rPr>
          <w:rFonts w:hint="eastAsia" w:ascii="方正仿宋_GBK" w:hAnsi="方正仿宋_GBK" w:eastAsia="方正仿宋_GBK" w:cs="方正仿宋_GBK"/>
          <w:b w:val="0"/>
          <w:bCs w:val="0"/>
          <w:sz w:val="33"/>
          <w:szCs w:val="33"/>
          <w:lang w:eastAsia="zh-CN"/>
        </w:rPr>
        <w:t>指为保障机构正常运转、完成日常工作任务而发生的人员支出和公用支出。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3.</w:t>
      </w:r>
      <w:r>
        <w:rPr>
          <w:rFonts w:hint="eastAsia" w:ascii="方正仿宋_GBK" w:hAnsi="方正仿宋_GBK" w:eastAsia="方正仿宋_GBK" w:cs="方正仿宋_GBK"/>
          <w:b/>
          <w:bCs/>
          <w:sz w:val="33"/>
          <w:szCs w:val="33"/>
          <w:lang w:eastAsia="zh-CN"/>
        </w:rPr>
        <w:t>项目支出：</w:t>
      </w:r>
      <w:r>
        <w:rPr>
          <w:rFonts w:hint="eastAsia" w:ascii="方正仿宋_GBK" w:hAnsi="方正仿宋_GBK" w:eastAsia="方正仿宋_GBK" w:cs="方正仿宋_GBK"/>
          <w:b w:val="0"/>
          <w:bCs w:val="0"/>
          <w:sz w:val="33"/>
          <w:szCs w:val="33"/>
          <w:lang w:eastAsia="zh-CN"/>
        </w:rPr>
        <w:t>指在基本支出之外为完成特定行政任务和事业发展目标所发生的支出。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r>
        <w:rPr>
          <w:rFonts w:hint="eastAsia" w:cs="方正仿宋_GBK"/>
          <w:b/>
          <w:bCs/>
          <w:sz w:val="33"/>
          <w:szCs w:val="33"/>
          <w:lang w:val="en-US" w:eastAsia="zh-CN"/>
        </w:rPr>
        <w:t>4.</w:t>
      </w:r>
      <w:r>
        <w:rPr>
          <w:rFonts w:hint="eastAsia" w:ascii="方正仿宋_GBK" w:hAnsi="方正仿宋_GBK" w:eastAsia="方正仿宋_GBK" w:cs="方正仿宋_GBK"/>
          <w:b/>
          <w:bCs/>
          <w:sz w:val="33"/>
          <w:szCs w:val="33"/>
          <w:lang w:eastAsia="zh-CN"/>
        </w:rPr>
        <w:t>三公经费：</w:t>
      </w:r>
      <w:r>
        <w:rPr>
          <w:rFonts w:hint="eastAsia" w:ascii="方正仿宋_GBK" w:hAnsi="方正仿宋_GBK" w:eastAsia="方正仿宋_GBK" w:cs="方正仿宋_GBK"/>
          <w:b w:val="0"/>
          <w:bCs w:val="0"/>
          <w:sz w:val="33"/>
          <w:szCs w:val="33"/>
          <w:lang w:eastAsia="zh-CN"/>
        </w:rPr>
        <w:t>指通过财政拨款安排的因公出国（境）费、公务用车购置及运行费和公务接待费，本单位部门预算中的“三公经费”包括基本支出和项目支出安排数。其中，因公出国（境）费指单位工作人员公务出国（境）的住宿费、旅费、伙食补助费、杂费、培训费等支出；公务用车购置及运行费指单位公务用车购置费、租用费、燃料费、维修费、过路过桥费、保险费、安全奖励费用等支出；公务接待费指单位按规定开支的各类公务接待（含外宾接待）支出。</w:t>
      </w:r>
    </w:p>
    <w:p>
      <w:pPr>
        <w:numPr>
          <w:ilvl w:val="0"/>
          <w:numId w:val="0"/>
        </w:numPr>
        <w:ind w:right="0" w:rightChars="0" w:firstLine="662" w:firstLineChars="200"/>
        <w:rPr>
          <w:rFonts w:hint="eastAsia" w:ascii="方正仿宋_GBK" w:hAnsi="方正仿宋_GBK" w:eastAsia="方正仿宋_GBK" w:cs="方正仿宋_GBK"/>
          <w:b w:val="0"/>
          <w:bCs w:val="0"/>
          <w:sz w:val="33"/>
          <w:szCs w:val="33"/>
          <w:lang w:eastAsia="zh-CN"/>
        </w:rPr>
      </w:pP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附件：表1.部门收支总表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表1-1.部门收入总表</w:t>
      </w:r>
    </w:p>
    <w:p>
      <w:pPr>
        <w:ind w:firstLine="645"/>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　　  表1-2.部门支出总表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表2.财政拨款收支预算总表</w:t>
      </w:r>
    </w:p>
    <w:p>
      <w:pPr>
        <w:ind w:firstLine="1655" w:firstLineChars="500"/>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表2-1.财政拨款支出预算表（政府经济分类科目）</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表3.一般公共预算支出预算表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表3-1.一般公共预算基本支出预算表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表3-2.一般公共预算项目支出预算表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表3-3.一般公共预算“三公”经费支出预算表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表4.政府性基金支出预算表</w:t>
      </w:r>
    </w:p>
    <w:p>
      <w:pPr>
        <w:ind w:firstLine="1658" w:firstLineChars="501"/>
        <w:rPr>
          <w:rFonts w:hint="eastAsia" w:ascii="方正仿宋_GBK" w:hAnsi="方正仿宋_GBK" w:eastAsia="方正仿宋_GBK" w:cs="方正仿宋_GBK"/>
          <w:sz w:val="33"/>
          <w:szCs w:val="33"/>
          <w:lang w:eastAsia="zh-CN"/>
        </w:rPr>
      </w:pPr>
      <w:r>
        <w:rPr>
          <w:rFonts w:hint="eastAsia" w:ascii="方正仿宋_GBK" w:hAnsi="方正仿宋_GBK" w:eastAsia="方正仿宋_GBK" w:cs="方正仿宋_GBK"/>
          <w:sz w:val="33"/>
          <w:szCs w:val="33"/>
        </w:rPr>
        <w:t>表4-1.政府性基金预算“三公”经费支出预算表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表5.国有资本经营预算支出预算表</w:t>
      </w:r>
    </w:p>
    <w:p>
      <w:pPr>
        <w:ind w:firstLine="645"/>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 xml:space="preserve">      表6.项目绩效目标表</w:t>
      </w:r>
    </w:p>
    <w:p>
      <w:pPr>
        <w:ind w:firstLine="1658" w:firstLineChars="501"/>
        <w:rPr>
          <w:rFonts w:hint="eastAsia" w:ascii="方正仿宋_GBK" w:hAnsi="方正仿宋_GBK" w:eastAsia="方正仿宋_GBK" w:cs="方正仿宋_GBK"/>
          <w:sz w:val="33"/>
          <w:szCs w:val="33"/>
        </w:rPr>
      </w:pPr>
      <w:r>
        <w:rPr>
          <w:rFonts w:hint="eastAsia" w:ascii="方正仿宋_GBK" w:hAnsi="方正仿宋_GBK" w:eastAsia="方正仿宋_GBK" w:cs="方正仿宋_GBK"/>
          <w:sz w:val="33"/>
          <w:szCs w:val="33"/>
        </w:rPr>
        <w:t>表7.部门整体支出绩效目标表</w:t>
      </w:r>
    </w:p>
    <w:p>
      <w:pPr>
        <w:numPr>
          <w:ilvl w:val="0"/>
          <w:numId w:val="0"/>
        </w:numPr>
        <w:ind w:right="0" w:rightChars="0"/>
        <w:rPr>
          <w:rFonts w:hint="eastAsia" w:ascii="方正仿宋_GBK" w:hAnsi="方正仿宋_GBK" w:eastAsia="方正仿宋_GBK" w:cs="方正仿宋_GBK"/>
          <w:b w:val="0"/>
          <w:bCs w:val="0"/>
          <w:sz w:val="33"/>
          <w:szCs w:val="33"/>
          <w:lang w:eastAsia="zh-CN"/>
        </w:rPr>
      </w:pPr>
      <w:bookmarkStart w:id="0" w:name="_GoBack"/>
      <w:bookmarkEnd w:id="0"/>
    </w:p>
    <w:p>
      <w:pPr>
        <w:pStyle w:val="3"/>
        <w:spacing w:before="12"/>
        <w:ind w:firstLine="662" w:firstLineChars="200"/>
        <w:rPr>
          <w:rFonts w:hint="default" w:ascii="仿宋_GB2312" w:eastAsia="仿宋_GB2312"/>
          <w:sz w:val="28"/>
          <w:lang w:val="en-US" w:eastAsia="zh-CN"/>
        </w:rPr>
      </w:pPr>
      <w:r>
        <mc:AlternateContent>
          <mc:Choice Requires="wps">
            <w:drawing>
              <wp:anchor distT="0" distB="0" distL="0" distR="0" simplePos="0" relativeHeight="251659264" behindDoc="1" locked="0" layoutInCell="1" allowOverlap="1">
                <wp:simplePos x="0" y="0"/>
                <wp:positionH relativeFrom="page">
                  <wp:posOffset>990600</wp:posOffset>
                </wp:positionH>
                <wp:positionV relativeFrom="paragraph">
                  <wp:posOffset>151130</wp:posOffset>
                </wp:positionV>
                <wp:extent cx="5600700" cy="0"/>
                <wp:effectExtent l="0" t="0" r="0" b="0"/>
                <wp:wrapTopAndBottom/>
                <wp:docPr id="2" name="直线 3"/>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78pt;margin-top:11.9pt;height:0pt;width:441pt;mso-position-horizontal-relative:page;mso-wrap-distance-bottom:0pt;mso-wrap-distance-top:0pt;z-index:-251657216;mso-width-relative:page;mso-height-relative:page;" filled="f" stroked="t" coordsize="21600,21600" o:gfxdata="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KHVSj/VAAAA&#10;CgEAAA8AAAAAAAAAAQAgAAAAIgAAAGRycy9kb3ducmV2LnhtbFBLAQIUABQAAAAIAIdO4kBnAobg&#10;5wEAANsDAAAOAAAAAAAAAAEAIAAAACQBAABkcnMvZTJvRG9jLnhtbFBLBQYAAAAABgAGAFkBAAB9&#10;BQAAAAA=&#10;">
                <v:fill on="f" focussize="0,0"/>
                <v:stroke color="#000000" joinstyle="round"/>
                <v:imagedata o:title=""/>
                <o:lock v:ext="edit" aspectratio="f"/>
                <w10:wrap type="topAndBottom"/>
              </v:line>
            </w:pict>
          </mc:Fallback>
        </mc:AlternateContent>
      </w:r>
      <w:r>
        <w:rPr>
          <w:rFonts w:hint="eastAsia" w:ascii="仿宋_GB2312" w:eastAsia="仿宋_GB2312"/>
          <w:sz w:val="28"/>
        </w:rPr>
        <w:t>武胜县</w:t>
      </w:r>
      <w:r>
        <w:rPr>
          <w:rFonts w:hint="eastAsia" w:ascii="仿宋_GB2312" w:eastAsia="仿宋_GB2312"/>
          <w:spacing w:val="-3"/>
          <w:sz w:val="28"/>
          <w:lang w:eastAsia="zh-CN"/>
        </w:rPr>
        <w:t>五谷湾小学校</w:t>
      </w:r>
      <w:r>
        <w:rPr>
          <w:rFonts w:hint="eastAsia" w:ascii="仿宋_GB2312" w:eastAsia="仿宋_GB2312"/>
          <w:sz w:val="28"/>
        </w:rPr>
        <w:tab/>
      </w:r>
      <w:r>
        <w:rPr>
          <w:rFonts w:hint="eastAsia" w:ascii="仿宋_GB2312" w:eastAsia="仿宋_GB2312"/>
          <w:sz w:val="28"/>
          <w:lang w:val="en-US" w:eastAsia="zh-CN"/>
        </w:rPr>
        <w:t xml:space="preserve">                 </w:t>
      </w:r>
      <w:r>
        <w:rPr>
          <w:rFonts w:ascii="Times New Roman" w:eastAsia="Times New Roman"/>
          <w:spacing w:val="-2"/>
          <w:sz w:val="28"/>
        </w:rPr>
        <w:t xml:space="preserve"> </w:t>
      </w:r>
      <w:r>
        <w:rPr>
          <w:rFonts w:hint="eastAsia" w:ascii="Times New Roman" w:eastAsia="宋体"/>
          <w:spacing w:val="-2"/>
          <w:sz w:val="28"/>
          <w:lang w:val="en-US" w:eastAsia="zh-CN"/>
        </w:rPr>
        <w:t xml:space="preserve">2022 </w:t>
      </w:r>
      <w:r>
        <w:rPr>
          <w:rFonts w:hint="eastAsia" w:ascii="仿宋_GB2312" w:eastAsia="仿宋_GB2312"/>
          <w:sz w:val="28"/>
        </w:rPr>
        <w:t>年</w:t>
      </w:r>
      <w:r>
        <w:rPr>
          <w:rFonts w:hint="default" w:ascii="仿宋_GB2312" w:eastAsia="仿宋_GB2312"/>
          <w:sz w:val="28"/>
          <w:lang w:val="en-US"/>
        </w:rPr>
        <w:t xml:space="preserve"> </w:t>
      </w:r>
      <w:r>
        <w:rPr>
          <w:rFonts w:hint="eastAsia" w:ascii="仿宋_GB2312" w:eastAsia="仿宋_GB2312"/>
          <w:sz w:val="28"/>
          <w:lang w:val="en-US" w:eastAsia="zh-CN"/>
        </w:rPr>
        <w:t>02月21日</w:t>
      </w:r>
    </w:p>
    <w:p>
      <w:pPr>
        <w:pStyle w:val="3"/>
        <w:spacing w:before="10"/>
        <w:rPr>
          <w:rFonts w:hint="eastAsia"/>
        </w:rPr>
      </w:pPr>
      <w:r>
        <mc:AlternateContent>
          <mc:Choice Requires="wps">
            <w:drawing>
              <wp:anchor distT="0" distB="0" distL="0" distR="0" simplePos="0" relativeHeight="251660288" behindDoc="1" locked="0" layoutInCell="1" allowOverlap="1">
                <wp:simplePos x="0" y="0"/>
                <wp:positionH relativeFrom="page">
                  <wp:posOffset>1017905</wp:posOffset>
                </wp:positionH>
                <wp:positionV relativeFrom="paragraph">
                  <wp:posOffset>133985</wp:posOffset>
                </wp:positionV>
                <wp:extent cx="5600700" cy="0"/>
                <wp:effectExtent l="0" t="0" r="0" b="0"/>
                <wp:wrapTopAndBottom/>
                <wp:docPr id="3" name="直线 4"/>
                <wp:cNvGraphicFramePr/>
                <a:graphic xmlns:a="http://schemas.openxmlformats.org/drawingml/2006/main">
                  <a:graphicData uri="http://schemas.microsoft.com/office/word/2010/wordprocessingShape">
                    <wps:wsp>
                      <wps:cNvCnPr/>
                      <wps:spPr>
                        <a:xfrm>
                          <a:off x="0" y="0"/>
                          <a:ext cx="56007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4" o:spid="_x0000_s1026" o:spt="20" style="position:absolute;left:0pt;margin-left:80.15pt;margin-top:10.55pt;height:0pt;width:441pt;mso-position-horizontal-relative:page;mso-wrap-distance-bottom:0pt;mso-wrap-distance-top:0pt;z-index:-251656192;mso-width-relative:page;mso-height-relative:page;" filled="f" stroked="t" coordsize="21600,21600" o:gfxdata="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pc0On1QAA&#10;AAoBAAAPAAAAAAAAAAEAIAAAACIAAABkcnMvZG93bnJldi54bWxQSwECFAAUAAAACACHTuJAalxn&#10;yegBAADbAwAADgAAAAAAAAABACAAAAAkAQAAZHJzL2Uyb0RvYy54bWxQSwUGAAAAAAYABgBZAQAA&#10;fgUAAAAA&#10;">
                <v:fill on="f" focussize="0,0"/>
                <v:stroke color="#000000" joinstyle="round"/>
                <v:imagedata o:title=""/>
                <o:lock v:ext="edit" aspectratio="f"/>
                <w10:wrap type="topAndBottom"/>
              </v:line>
            </w:pict>
          </mc:Fallback>
        </mc:AlternateContent>
      </w:r>
    </w:p>
    <w:sectPr>
      <w:headerReference r:id="rId5" w:type="default"/>
      <w:footerReference r:id="rId6" w:type="default"/>
      <w:pgSz w:w="11910" w:h="16840"/>
      <w:pgMar w:top="2041" w:right="1531" w:bottom="1701" w:left="1531" w:header="850" w:footer="1474" w:gutter="0"/>
      <w:pgNumType w:fmt="numberInDash"/>
      <w:cols w:equalWidth="0" w:num="1">
        <w:col w:w="8848"/>
      </w:cols>
      <w:rtlGutter w:val="0"/>
      <w:docGrid w:type="linesAndChars" w:linePitch="595" w:charSpace="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3000509000000000000"/>
    <w:charset w:val="86"/>
    <w:family w:val="script"/>
    <w:pitch w:val="default"/>
    <w:sig w:usb0="00000000" w:usb1="00000000" w:usb2="00000000" w:usb3="00000000" w:csb0="00040000" w:csb1="00000000"/>
  </w:font>
  <w:font w:name="方正黑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bordersDoNotSurroundHeader w:val="0"/>
  <w:bordersDoNotSurroundFooter w:val="0"/>
  <w:documentProtection w:enforcement="0"/>
  <w:defaultTabStop w:val="720"/>
  <w:drawingGridHorizontalSpacing w:val="111"/>
  <w:drawingGridVerticalSpacing w:val="298"/>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DA4E9C"/>
    <w:rsid w:val="04B50D21"/>
    <w:rsid w:val="0521070F"/>
    <w:rsid w:val="07767206"/>
    <w:rsid w:val="111D544A"/>
    <w:rsid w:val="11594AE5"/>
    <w:rsid w:val="138121CC"/>
    <w:rsid w:val="139342A0"/>
    <w:rsid w:val="18FF1C8C"/>
    <w:rsid w:val="1B092838"/>
    <w:rsid w:val="20B84F09"/>
    <w:rsid w:val="220130AD"/>
    <w:rsid w:val="24E80CA0"/>
    <w:rsid w:val="25010678"/>
    <w:rsid w:val="252364F0"/>
    <w:rsid w:val="2729335C"/>
    <w:rsid w:val="27573AB1"/>
    <w:rsid w:val="2A497074"/>
    <w:rsid w:val="2A8408D5"/>
    <w:rsid w:val="2C8D1999"/>
    <w:rsid w:val="2D6755A6"/>
    <w:rsid w:val="2D966227"/>
    <w:rsid w:val="2FEE573B"/>
    <w:rsid w:val="31F453ED"/>
    <w:rsid w:val="32B362FC"/>
    <w:rsid w:val="33E171BE"/>
    <w:rsid w:val="34972E5B"/>
    <w:rsid w:val="34D41FAC"/>
    <w:rsid w:val="37713EB9"/>
    <w:rsid w:val="39873FD7"/>
    <w:rsid w:val="3B1F2F0D"/>
    <w:rsid w:val="3C7A711E"/>
    <w:rsid w:val="3E0241CF"/>
    <w:rsid w:val="3F78603A"/>
    <w:rsid w:val="404963CE"/>
    <w:rsid w:val="46C41C30"/>
    <w:rsid w:val="4C8908C6"/>
    <w:rsid w:val="4ECA5A14"/>
    <w:rsid w:val="532B781E"/>
    <w:rsid w:val="545009F1"/>
    <w:rsid w:val="560C45DE"/>
    <w:rsid w:val="577C50E5"/>
    <w:rsid w:val="57DC1782"/>
    <w:rsid w:val="58A175E6"/>
    <w:rsid w:val="5B3B610F"/>
    <w:rsid w:val="5C7D6C90"/>
    <w:rsid w:val="611F6D88"/>
    <w:rsid w:val="64DE7056"/>
    <w:rsid w:val="677F50DB"/>
    <w:rsid w:val="703F03EB"/>
    <w:rsid w:val="710D2A25"/>
    <w:rsid w:val="72C13C88"/>
    <w:rsid w:val="74233E3D"/>
    <w:rsid w:val="756D6215"/>
    <w:rsid w:val="771D75C1"/>
    <w:rsid w:val="7C20646B"/>
    <w:rsid w:val="7E6E7422"/>
    <w:rsid w:val="7FAA47E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方正仿宋_GBK" w:hAnsi="方正仿宋_GBK" w:eastAsia="方正仿宋_GBK" w:cs="方正仿宋_GBK"/>
      <w:sz w:val="22"/>
      <w:szCs w:val="22"/>
      <w:lang w:val="zh-CN" w:eastAsia="zh-CN" w:bidi="zh-CN"/>
    </w:rPr>
  </w:style>
  <w:style w:type="paragraph" w:styleId="2">
    <w:name w:val="heading 1"/>
    <w:basedOn w:val="1"/>
    <w:next w:val="1"/>
    <w:qFormat/>
    <w:uiPriority w:val="1"/>
    <w:pPr>
      <w:ind w:left="825" w:right="813"/>
      <w:jc w:val="center"/>
      <w:outlineLvl w:val="1"/>
    </w:pPr>
    <w:rPr>
      <w:rFonts w:ascii="方正小标宋_GBK" w:hAnsi="方正小标宋_GBK" w:eastAsia="方正小标宋_GBK" w:cs="方正小标宋_GBK"/>
      <w:b/>
      <w:bCs/>
      <w:sz w:val="44"/>
      <w:szCs w:val="44"/>
      <w:lang w:val="zh-CN" w:eastAsia="zh-CN" w:bidi="zh-CN"/>
    </w:rPr>
  </w:style>
  <w:style w:type="character" w:default="1" w:styleId="7">
    <w:name w:val="Default Paragraph Font"/>
    <w:semiHidden/>
    <w:unhideWhenUsed/>
    <w:qFormat/>
    <w:uiPriority w:val="1"/>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方正仿宋_GBK" w:hAnsi="方正仿宋_GBK" w:eastAsia="方正仿宋_GBK" w:cs="方正仿宋_GBK"/>
      <w:sz w:val="33"/>
      <w:szCs w:val="33"/>
      <w:lang w:val="zh-CN" w:eastAsia="zh-CN" w:bidi="zh-CN"/>
    </w:rPr>
  </w:style>
  <w:style w:type="paragraph" w:styleId="4">
    <w:name w:val="footer"/>
    <w:basedOn w:val="1"/>
    <w:unhideWhenUsed/>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2"/>
    <w:tblPr>
      <w:tblCellMar>
        <w:top w:w="0" w:type="dxa"/>
        <w:left w:w="0" w:type="dxa"/>
        <w:bottom w:w="0" w:type="dxa"/>
        <w:right w:w="0" w:type="dxa"/>
      </w:tblCellMar>
    </w:tblPr>
  </w:style>
  <w:style w:type="paragraph" w:styleId="9">
    <w:name w:val="List Paragraph"/>
    <w:basedOn w:val="1"/>
    <w:qFormat/>
    <w:uiPriority w:val="1"/>
    <w:rPr>
      <w:lang w:val="zh-CN" w:eastAsia="zh-CN" w:bidi="zh-CN"/>
    </w:rPr>
  </w:style>
  <w:style w:type="paragraph" w:customStyle="1" w:styleId="10">
    <w:name w:val="Table Paragraph"/>
    <w:basedOn w:val="1"/>
    <w:qFormat/>
    <w:uiPriority w:val="1"/>
    <w:rPr>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Lines>1</Lines>
  <Paragraphs>1</Paragraphs>
  <TotalTime>3</TotalTime>
  <ScaleCrop>false</ScaleCrop>
  <LinksUpToDate>false</LinksUpToDate>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2019-03-13T01:06:00Z</dcterms:created>
  <dc:creator>微软用户</dc:creator>
  <cp:lastModifiedBy>田彬</cp:lastModifiedBy>
  <cp:lastPrinted>2019-07-03T03:59:00Z</cp:lastPrinted>
  <dcterms:modified xsi:type="dcterms:W3CDTF">2022-02-24T07:36:50Z</dcterms:modified>
  <dc:title>武胜县教育局</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2018-11-30T00:00:00Z</vt:filetime>
  </property>
  <property fmtid="{D5CDD505-2E9C-101B-9397-08002B2CF9AE}" pid="3" name="Creator">
    <vt:lpwstr>Microsoft® Word 2010</vt:lpwstr>
  </property>
  <property fmtid="{D5CDD505-2E9C-101B-9397-08002B2CF9AE}" pid="4" name="LastSaved">
    <vt:filetime>2019-03-13T00:00:00Z</vt:filetime>
  </property>
  <property fmtid="{D5CDD505-2E9C-101B-9397-08002B2CF9AE}" pid="5" name="KSOProductBuildVer">
    <vt:lpwstr>2052-11.1.0.11294</vt:lpwstr>
  </property>
  <property fmtid="{D5CDD505-2E9C-101B-9397-08002B2CF9AE}" pid="6" name="KSOSaveFontToCloudKey">
    <vt:lpwstr>354006591_btnclosed</vt:lpwstr>
  </property>
  <property fmtid="{D5CDD505-2E9C-101B-9397-08002B2CF9AE}" pid="7" name="ICV">
    <vt:lpwstr>95A5E6E16C554481BCB8220FA8E3A126</vt:lpwstr>
  </property>
</Properties>
</file>