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12" w:lineRule="exact"/>
        <w:ind w:left="0" w:leftChars="0" w:firstLine="0" w:firstLineChars="0"/>
        <w:jc w:val="center"/>
        <w:rPr>
          <w:rFonts w:hint="eastAsia"/>
          <w:color w:val="FF0000"/>
          <w:sz w:val="52"/>
          <w:szCs w:val="52"/>
          <w:lang w:eastAsia="zh-CN"/>
        </w:rPr>
      </w:pPr>
      <w:r>
        <w:rPr>
          <w:rFonts w:hint="eastAsia"/>
          <w:lang w:val="en-US" w:eastAsia="zh-CN"/>
        </w:rPr>
        <w:t xml:space="preserve">  </w:t>
      </w:r>
      <w:r>
        <w:rPr>
          <w:rFonts w:hint="eastAsia"/>
          <w:color w:val="FF0000"/>
          <w:lang w:val="en-US" w:eastAsia="zh-CN"/>
        </w:rPr>
        <w:t xml:space="preserve"> </w:t>
      </w:r>
      <w:r>
        <w:rPr>
          <w:rFonts w:hint="eastAsia"/>
          <w:color w:val="FF0000"/>
          <w:sz w:val="60"/>
          <w:szCs w:val="60"/>
          <w:lang w:eastAsia="zh-CN"/>
        </w:rPr>
        <w:t>武胜县</w:t>
      </w:r>
      <w:r>
        <w:rPr>
          <w:rFonts w:hint="eastAsia"/>
          <w:color w:val="FF0000"/>
          <w:sz w:val="60"/>
          <w:szCs w:val="60"/>
          <w:lang w:val="en-US" w:eastAsia="zh-CN"/>
        </w:rPr>
        <w:t>双星</w:t>
      </w:r>
      <w:r>
        <w:rPr>
          <w:rFonts w:hint="eastAsia"/>
          <w:color w:val="FF0000"/>
          <w:sz w:val="60"/>
          <w:szCs w:val="60"/>
          <w:lang w:eastAsia="zh-CN"/>
        </w:rPr>
        <w:t>小学校</w:t>
      </w:r>
    </w:p>
    <w:p>
      <w:pPr>
        <w:pStyle w:val="2"/>
        <w:spacing w:line="712" w:lineRule="exact"/>
        <w:ind w:left="0" w:leftChars="0" w:firstLine="0" w:firstLineChars="0"/>
        <w:jc w:val="center"/>
      </w:pPr>
      <w:r>
        <w:rPr>
          <w:sz w:val="160"/>
          <w:szCs w:val="160"/>
        </w:rPr>
        <mc:AlternateContent>
          <mc:Choice Requires="wps">
            <w:drawing>
              <wp:anchor distT="0" distB="0" distL="114300" distR="114300" simplePos="0" relativeHeight="251662336" behindDoc="0" locked="0" layoutInCell="1" allowOverlap="1">
                <wp:simplePos x="0" y="0"/>
                <wp:positionH relativeFrom="column">
                  <wp:posOffset>-59690</wp:posOffset>
                </wp:positionH>
                <wp:positionV relativeFrom="paragraph">
                  <wp:posOffset>269240</wp:posOffset>
                </wp:positionV>
                <wp:extent cx="5742940" cy="19050"/>
                <wp:effectExtent l="0" t="0" r="10160" b="47625"/>
                <wp:wrapNone/>
                <wp:docPr id="4" name="直线 5"/>
                <wp:cNvGraphicFramePr/>
                <a:graphic xmlns:a="http://schemas.openxmlformats.org/drawingml/2006/main">
                  <a:graphicData uri="http://schemas.microsoft.com/office/word/2010/wordprocessingShape">
                    <wps:wsp>
                      <wps:cNvCnPr/>
                      <wps:spPr>
                        <a:xfrm flipV="1">
                          <a:off x="1038225" y="1724660"/>
                          <a:ext cx="5742940" cy="19050"/>
                        </a:xfrm>
                        <a:prstGeom prst="line">
                          <a:avLst/>
                        </a:prstGeom>
                        <a:solidFill>
                          <a:srgbClr val="FF0000"/>
                        </a:solidFill>
                        <a:ln w="63500">
                          <a:solidFill>
                            <a:srgbClr val="FF0000"/>
                          </a:solidFill>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a:graphicData>
                </a:graphic>
              </wp:anchor>
            </w:drawing>
          </mc:Choice>
          <mc:Fallback>
            <w:pict>
              <v:line id="直线 5" o:spid="_x0000_s1026" o:spt="20" style="position:absolute;left:0pt;flip:y;margin-left:-4.7pt;margin-top:21.2pt;height:1.5pt;width:452.2pt;z-index:251662336;mso-width-relative:page;mso-height-relative:page;" fillcolor="#FF0000" filled="t" stroked="t" coordsize="21600,21600" o:gfxdata="UEsDBAoAAAAAAIdO4kAAAAAAAAAAAAAAAAAEAAAAZHJzL1BLAwQUAAAACACHTuJA6xRcRNoAAAAI&#10;AQAADwAAAGRycy9kb3ducmV2LnhtbE2PQWvCQBCF74X+h2UKvRTdRBLRNBuhBaG9WS3U3tbsNAnN&#10;zobsalJ/fceTnoaZ93jzvXw12lacsPeNIwXxNAKBVDrTUKXgc7eeLED4oMno1hEq+EMPq+L+LteZ&#10;cQN94GkbKsEh5DOtoA6hy6T0ZY1W+6nrkFj7cb3Vgde+kqbXA4fbVs6iaC6tbog/1LrD1xrL3+3R&#10;Ktif/cvTfofl8PYVy3FYv2/SzbdSjw9x9Awi4BiuZrjgMzoUzHRwRzJetAomy4SdCpIZT9YXy5S7&#10;HfiQJiCLXN4WKP4BUEsDBBQAAAAIAIdO4kCkpyI39QEAAOcDAAAOAAAAZHJzL2Uyb0RvYy54bWyt&#10;U0tu2zAQ3RfoHQjua8mK7SSC5SziupuiNdDPfsyPRIA/kIxln6XX6KqbHifX6JB206bZBEG1IGY0&#10;wzfz3gyXNwejyV6EqJzt6HRSUyIsc1zZvqNfPm/eXFESE1gO2lnR0aOI9Gb1+tVy9K1o3OA0F4Eg&#10;iI3t6Ds6pOTbqopsEAbixHlhMShdMJDQDX3FA4yIbnTV1PWiGl3gPjgmYsS/61OQrgq+lIKlj1JG&#10;kYjuKPaWyhnKuctntVpC2wfwg2LnNuAFXRhQFos+QK0hAbkL6gmUUSy46GSaMGcqJ6VionBANtP6&#10;HzafBvCicEFxon+QKf4/WPZhvw1E8Y7OKLFgcET3377f//hJ5lmb0ccWU27tNpy96LchEz3IYIjU&#10;yn/FsRfqSIYc0KkvrppmTskR7ctmtlicVRaHRBgmzC9nzfUMh8FyxnU9L/HqBJmhfYjpnXCGZKOj&#10;WtksArSwfx8TtoGpv1Py7+i04huldXFCv7vVgewBB77Z1PhlHnjlUZq2ZOzo4mKOYcIAF09qSGga&#10;j1JE21MCuseNZimU2o9ux+cVyU2uIQ6nZgrCad8GAfyt5SQdPept8WHQ3I4RnBItsGq2sGtoEyj9&#10;nEzkpy3SzPM6TShbO8ePON07H1Q/oJLTIkWO4DYVUc6bn9f1b78g/Xmf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rFFxE2gAAAAgBAAAPAAAAAAAAAAEAIAAAACIAAABkcnMvZG93bnJldi54bWxQ&#10;SwECFAAUAAAACACHTuJApKciN/UBAADnAwAADgAAAAAAAAABACAAAAApAQAAZHJzL2Uyb0RvYy54&#10;bWxQSwUGAAAAAAYABgBZAQAAkAUAAAAA&#10;">
                <v:fill on="t" focussize="0,0"/>
                <v:stroke weight="5pt" color="#FF0000 [3205]" joinstyle="round"/>
                <v:imagedata o:title=""/>
                <o:lock v:ext="edit" aspectratio="f"/>
              </v:line>
            </w:pict>
          </mc:Fallback>
        </mc:AlternateContent>
      </w:r>
      <w:r>
        <w:rPr>
          <w:sz w:val="160"/>
          <w:szCs w:val="160"/>
        </w:rPr>
        <mc:AlternateContent>
          <mc:Choice Requires="wps">
            <w:drawing>
              <wp:anchor distT="0" distB="0" distL="114300" distR="114300" simplePos="0" relativeHeight="251667456" behindDoc="0" locked="0" layoutInCell="1" allowOverlap="1">
                <wp:simplePos x="0" y="0"/>
                <wp:positionH relativeFrom="column">
                  <wp:posOffset>-78105</wp:posOffset>
                </wp:positionH>
                <wp:positionV relativeFrom="paragraph">
                  <wp:posOffset>364490</wp:posOffset>
                </wp:positionV>
                <wp:extent cx="5742305" cy="38100"/>
                <wp:effectExtent l="0" t="4445" r="10795" b="14605"/>
                <wp:wrapNone/>
                <wp:docPr id="5" name="直线 6"/>
                <wp:cNvGraphicFramePr/>
                <a:graphic xmlns:a="http://schemas.openxmlformats.org/drawingml/2006/main">
                  <a:graphicData uri="http://schemas.microsoft.com/office/word/2010/wordprocessingShape">
                    <wps:wsp>
                      <wps:cNvCnPr/>
                      <wps:spPr>
                        <a:xfrm flipV="1">
                          <a:off x="0" y="0"/>
                          <a:ext cx="5742305" cy="38100"/>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6.15pt;margin-top:28.7pt;height:3pt;width:452.15pt;z-index:251667456;mso-width-relative:page;mso-height-relative:page;" filled="f" stroked="t" coordsize="21600,21600" o:gfxdata="UEsDBAoAAAAAAIdO4kAAAAAAAAAAAAAAAAAEAAAAZHJzL1BLAwQUAAAACACHTuJA6//UB9oAAAAJ&#10;AQAADwAAAGRycy9kb3ducmV2LnhtbE2PMW/CMBCF90r9D9ZV6oLATqApTXNhqNSlUocakDqa+JpE&#10;xHYUG0j+fc0E4+k+vfe9YjOajp1p8K2zCMlCACNbOd3aGmG3/ZyvgfmgrFads4QwkYdN+fhQqFy7&#10;i/2hsww1iyHW5wqhCaHPOfdVQ0b5hevJxt+fG4wK8Rxqrgd1ieGm46kQGTeqtbGhUT19NFQd5ckg&#10;SKGmr2S3n8ZZmB23v/Jb7rOA+PyUiHdggcZwg+GqH9WhjE4Hd7Lasw5hnqTLiCK8vK6ARWD9lsZx&#10;B4RsuQJeFvx+QfkPUEsDBBQAAAAIAIdO4kAUHVeD3AEAAJsDAAAOAAAAZHJzL2Uyb0RvYy54bWyt&#10;U0uOEzEQ3SNxB8t70p0MGYZWOrOYEDYIIg2wr7jtbkv+yeVJJ2fhGqzYcJy5BmV3CL8NQvTCKrvK&#10;r+o9v17dHq1hBxlRe9fy+azmTDrhO+36ln94v312wxkmcB0Y72TLTxL57frpk9UYGrnwgzedjIxA&#10;HDZjaPmQUmiqCsUgLeDMB+koqXy0kGgb+6qLMBK6NdWirq+r0ccuRC8kIp1upiRfF3ylpEjvlEKZ&#10;mGk5zZbKGsu6z2u1XkHTRwiDFucx4B+msKAdNb1AbSABe4j6DyirRfToVZoJbyuvlBaycCA28/o3&#10;NvcDBFm4kDgYLjLh/4MVbw+7yHTX8iVnDiw90eOnz49fvrLrrM0YsKGSO7eL5x2GXcxEjypapowO&#10;H+nZC3Uiw45F2dNFWXlMTNDh8sXzxVVNLQTlrm7mdVG+mmAyXIiYXktvWQ5abrTLxKGBwxtM1JpK&#10;v5fkY+PY2PKXy0WGBPKNMpAotIGYoOvLXfRGd1ttTL6Bsd/fmcgOQE7Ybmv6MkHC/aUsN9kADlNd&#10;SU0eGSR0r1zH0imQRo7MzPMIVnacGUnezxEBQpNAm7+ppNbG0QRZ40nVHO19d6IXeQhR9wMpMS9T&#10;5gw5oMx7dmu22M/7gvTjn1p/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v/1AfaAAAACQEAAA8A&#10;AAAAAAAAAQAgAAAAIgAAAGRycy9kb3ducmV2LnhtbFBLAQIUABQAAAAIAIdO4kAUHVeD3AEAAJsD&#10;AAAOAAAAAAAAAAEAIAAAACkBAABkcnMvZTJvRG9jLnhtbFBLBQYAAAAABgAGAFkBAAB3BQAAAAA=&#10;">
                <v:fill on="f" focussize="0,0"/>
                <v:stroke color="#FF0000" joinstyle="round"/>
                <v:imagedata o:title=""/>
                <o:lock v:ext="edit" aspectratio="f"/>
              </v:line>
            </w:pict>
          </mc:Fallback>
        </mc:AlternateContent>
      </w:r>
    </w:p>
    <w:p>
      <w:pPr>
        <w:pStyle w:val="2"/>
        <w:spacing w:line="712" w:lineRule="exact"/>
        <w:ind w:left="0" w:leftChars="0" w:firstLine="0" w:firstLineChars="0"/>
        <w:jc w:val="center"/>
        <w:rPr>
          <w:rFonts w:hint="eastAsia"/>
          <w:lang w:val="en-US"/>
        </w:rPr>
      </w:pPr>
      <w:r>
        <w:rPr>
          <w:rFonts w:hint="default"/>
          <w:lang w:val="en-US"/>
        </w:rPr>
        <w:t xml:space="preserve">  </w:t>
      </w:r>
      <w:r>
        <w:rPr>
          <w:rFonts w:hint="eastAsia"/>
          <w:lang w:val="en-US"/>
        </w:rPr>
        <w:t>关于</w:t>
      </w:r>
      <w:r>
        <w:rPr>
          <w:rFonts w:hint="eastAsia"/>
          <w:lang w:val="en-US" w:eastAsia="zh-CN"/>
        </w:rPr>
        <w:t>2022年</w:t>
      </w:r>
      <w:r>
        <w:rPr>
          <w:rFonts w:hint="eastAsia"/>
          <w:lang w:val="en-US"/>
        </w:rPr>
        <w:t>部门预算</w:t>
      </w:r>
    </w:p>
    <w:p>
      <w:pPr>
        <w:pStyle w:val="2"/>
        <w:spacing w:line="712" w:lineRule="exact"/>
        <w:ind w:left="0" w:leftChars="0" w:firstLine="0" w:firstLineChars="0"/>
        <w:jc w:val="center"/>
        <w:rPr>
          <w:rFonts w:hint="eastAsia"/>
          <w:lang w:val="en-US"/>
        </w:rPr>
      </w:pPr>
      <w:r>
        <w:rPr>
          <w:rFonts w:hint="eastAsia"/>
          <w:lang w:val="en-US"/>
        </w:rPr>
        <w:t>编制的说明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p>
    <w:p>
      <w:pPr>
        <w:numPr>
          <w:ilvl w:val="0"/>
          <w:numId w:val="0"/>
        </w:numPr>
        <w:ind w:leftChars="200" w:right="0" w:rightChars="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楷体_GBK" w:hAnsi="方正楷体_GBK" w:eastAsia="方正楷体_GBK" w:cs="方正楷体_GBK"/>
          <w:b/>
          <w:bCs/>
          <w:sz w:val="33"/>
          <w:szCs w:val="33"/>
          <w:lang w:eastAsia="zh-CN"/>
        </w:rPr>
      </w:pPr>
      <w:r>
        <w:rPr>
          <w:rFonts w:hint="eastAsia" w:ascii="方正楷体_GBK" w:hAnsi="方正楷体_GBK" w:eastAsia="方正楷体_GBK" w:cs="方正楷体_GBK"/>
          <w:b/>
          <w:bCs/>
          <w:sz w:val="33"/>
          <w:szCs w:val="33"/>
          <w:lang w:val="en-US" w:eastAsia="zh-CN"/>
        </w:rPr>
        <w:t>（一）</w:t>
      </w:r>
      <w:r>
        <w:rPr>
          <w:rFonts w:hint="eastAsia" w:ascii="方正楷体_GBK" w:hAnsi="方正楷体_GBK" w:eastAsia="方正楷体_GBK" w:cs="方正楷体_GBK"/>
          <w:b/>
          <w:bCs/>
          <w:sz w:val="33"/>
          <w:szCs w:val="33"/>
          <w:lang w:eastAsia="zh-CN"/>
        </w:rPr>
        <w:t>双星小学校职能简介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双星小学</w:t>
      </w:r>
      <w:r>
        <w:rPr>
          <w:rFonts w:hint="eastAsia" w:ascii="方正仿宋_GBK" w:hAnsi="方正仿宋_GBK" w:eastAsia="方正仿宋_GBK" w:cs="方正仿宋_GBK"/>
          <w:b w:val="0"/>
          <w:bCs w:val="0"/>
          <w:sz w:val="33"/>
          <w:szCs w:val="33"/>
          <w:lang w:eastAsia="zh-CN"/>
        </w:rPr>
        <w:t>为全日制义务教育学校，基本职能是实施小学义务教育，促进基础教育发展。</w:t>
      </w:r>
    </w:p>
    <w:p>
      <w:pPr>
        <w:numPr>
          <w:ilvl w:val="0"/>
          <w:numId w:val="0"/>
        </w:numPr>
        <w:ind w:right="0" w:rightChars="0" w:firstLine="662" w:firstLineChars="200"/>
        <w:rPr>
          <w:rFonts w:hint="eastAsia" w:ascii="方正楷体_GBK" w:hAnsi="方正楷体_GBK" w:eastAsia="方正楷体_GBK" w:cs="方正楷体_GBK"/>
          <w:b/>
          <w:bCs/>
          <w:sz w:val="33"/>
          <w:szCs w:val="33"/>
          <w:lang w:val="en-US" w:eastAsia="zh-CN"/>
        </w:rPr>
      </w:pPr>
      <w:r>
        <w:rPr>
          <w:rFonts w:hint="eastAsia" w:ascii="方正楷体_GBK" w:hAnsi="方正楷体_GBK" w:eastAsia="方正楷体_GBK" w:cs="方正楷体_GBK"/>
          <w:b/>
          <w:bCs/>
          <w:sz w:val="33"/>
          <w:szCs w:val="33"/>
          <w:lang w:val="en-US" w:eastAsia="zh-CN"/>
        </w:rPr>
        <w:t>（二）双星小学校2022年重点工作</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1.防疫工作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学校成立防疫工作领导小组，负责学校的防疫工作。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施行封闭式管理，坚持对进出师生进行体温监测，非本校师生及职工不能进入校园。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坚持对学生进行晨检和午检，并做好记录，对体温异常的学生按预定程序处理。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每天坚持对校园进行全方位消毒，并做好记录。</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加强对学生进行防疫知识教育，教育他们戴口罩，少出门，不聚集，多通风，勤洗手。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2.教学工作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深化课程改革，继续实施“新课程改革”.课堂教学的改革：强化理论研究，实现理论水平的提高。添置教学设施，实现课改条件的改变。转变思想观念，实现教学模式的转变。</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大课间活动的规范：精选活动内容，力求内容健康、积极。精排活动节目，力求动作规范、娴熟。做到适时更换，力求形式多样、有趣。</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3+N活动的开展：精选活动项目，作好分类指导，举办成果展示。</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3.艺体工作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学校要按照部颁计划开齐开足体育课程，认真开展大课间活动和“3+N”活动，确保中小学生每人每天有一小时体育活动；积极推行《阳光体育奖章制度》，激励广大学生争当阳光体育奖章获得者；积极筹备</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小学学生篮球运动会。</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加强学校艺术教育，开足艺术教育课程，经常开展艺术教育活动，丰富学生校园生活，提高学生艺术的欣赏水平和鉴赏能力。</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）活动安排</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阳光体育活动：认真执行国家《体育与健康课程标准》，保质保量上好体育课；全面推行大课间体育活动，每天上午统一安排30分钟的大课间体育锻炼，并开展以学生为主体的小型多样的体育活动，营造班班有锻炼，人人有项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体育运动会：定期举办多层次多形式的学生体育运动会。注重培养和发展学生的体育运动兴趣和特长，使每个学生都能掌握至少一项以上的体育运动技能。5月底，举行</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小学篮球运动会。</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二、部门预算单位构成</w:t>
      </w:r>
    </w:p>
    <w:p>
      <w:pPr>
        <w:numPr>
          <w:ilvl w:val="0"/>
          <w:numId w:val="0"/>
        </w:numPr>
        <w:ind w:right="0" w:rightChars="0" w:firstLine="662" w:firstLineChars="200"/>
        <w:rPr>
          <w:rFonts w:hint="eastAsia" w:cs="方正仿宋_GBK"/>
          <w:b w:val="0"/>
          <w:bCs w:val="0"/>
          <w:sz w:val="33"/>
          <w:szCs w:val="33"/>
          <w:lang w:eastAsia="zh-CN"/>
        </w:rPr>
      </w:pPr>
      <w:r>
        <w:rPr>
          <w:rFonts w:hint="eastAsia" w:cs="方正仿宋_GBK"/>
          <w:b w:val="0"/>
          <w:bCs w:val="0"/>
          <w:sz w:val="33"/>
          <w:szCs w:val="33"/>
          <w:lang w:eastAsia="zh-CN"/>
        </w:rPr>
        <w:t>双星小学预算下属1个预算单位，有在职教职员工</w:t>
      </w:r>
      <w:r>
        <w:rPr>
          <w:rFonts w:hint="eastAsia" w:cs="方正仿宋_GBK"/>
          <w:b w:val="0"/>
          <w:bCs w:val="0"/>
          <w:sz w:val="33"/>
          <w:szCs w:val="33"/>
          <w:lang w:val="en-US" w:eastAsia="zh-CN"/>
        </w:rPr>
        <w:t>62</w:t>
      </w:r>
      <w:r>
        <w:rPr>
          <w:rFonts w:hint="eastAsia" w:cs="方正仿宋_GBK"/>
          <w:b w:val="0"/>
          <w:bCs w:val="0"/>
          <w:sz w:val="33"/>
          <w:szCs w:val="33"/>
          <w:lang w:eastAsia="zh-CN"/>
        </w:rPr>
        <w:t>人，其中专任教师</w:t>
      </w:r>
      <w:r>
        <w:rPr>
          <w:rFonts w:hint="eastAsia" w:cs="方正仿宋_GBK"/>
          <w:b w:val="0"/>
          <w:bCs w:val="0"/>
          <w:sz w:val="33"/>
          <w:szCs w:val="33"/>
          <w:lang w:val="en-US" w:eastAsia="zh-CN"/>
        </w:rPr>
        <w:t>61</w:t>
      </w:r>
      <w:r>
        <w:rPr>
          <w:rFonts w:hint="eastAsia" w:cs="方正仿宋_GBK"/>
          <w:b w:val="0"/>
          <w:bCs w:val="0"/>
          <w:sz w:val="33"/>
          <w:szCs w:val="33"/>
          <w:lang w:eastAsia="zh-CN"/>
        </w:rPr>
        <w:t>人；</w:t>
      </w:r>
      <w:r>
        <w:rPr>
          <w:rFonts w:hint="eastAsia" w:ascii="仿宋_GB2312" w:hAnsi="仿宋_GB2312" w:eastAsia="仿宋_GB2312" w:cs="仿宋_GB2312"/>
          <w:sz w:val="33"/>
          <w:szCs w:val="33"/>
        </w:rPr>
        <w:t>工勤人员</w:t>
      </w:r>
      <w:r>
        <w:rPr>
          <w:rFonts w:hint="eastAsia" w:ascii="仿宋_GB2312" w:hAnsi="仿宋_GB2312" w:eastAsia="仿宋_GB2312" w:cs="仿宋_GB2312"/>
          <w:sz w:val="33"/>
          <w:szCs w:val="33"/>
          <w:lang w:val="en-US" w:eastAsia="zh-CN"/>
        </w:rPr>
        <w:t>1</w:t>
      </w:r>
      <w:r>
        <w:rPr>
          <w:rFonts w:hint="eastAsia" w:ascii="仿宋_GB2312" w:hAnsi="仿宋_GB2312" w:eastAsia="仿宋_GB2312" w:cs="仿宋_GB2312"/>
          <w:sz w:val="33"/>
          <w:szCs w:val="33"/>
        </w:rPr>
        <w:t>人</w:t>
      </w:r>
      <w:r>
        <w:rPr>
          <w:rFonts w:hint="eastAsia" w:cs="方正仿宋_GBK"/>
          <w:b w:val="0"/>
          <w:bCs w:val="0"/>
          <w:sz w:val="33"/>
          <w:szCs w:val="33"/>
          <w:lang w:eastAsia="zh-CN"/>
        </w:rPr>
        <w:t>有退休教师</w:t>
      </w:r>
      <w:r>
        <w:rPr>
          <w:rFonts w:hint="eastAsia" w:cs="方正仿宋_GBK"/>
          <w:b w:val="0"/>
          <w:bCs w:val="0"/>
          <w:sz w:val="33"/>
          <w:szCs w:val="33"/>
          <w:lang w:val="en-US" w:eastAsia="zh-CN"/>
        </w:rPr>
        <w:t>38</w:t>
      </w:r>
      <w:r>
        <w:rPr>
          <w:rFonts w:hint="eastAsia" w:cs="方正仿宋_GBK"/>
          <w:b w:val="0"/>
          <w:bCs w:val="0"/>
          <w:sz w:val="33"/>
          <w:szCs w:val="33"/>
          <w:lang w:eastAsia="zh-CN"/>
        </w:rPr>
        <w:t>人；现有教学班</w:t>
      </w:r>
      <w:r>
        <w:rPr>
          <w:rFonts w:hint="eastAsia" w:cs="方正仿宋_GBK"/>
          <w:b w:val="0"/>
          <w:bCs w:val="0"/>
          <w:sz w:val="33"/>
          <w:szCs w:val="33"/>
          <w:lang w:val="en-US" w:eastAsia="zh-CN"/>
        </w:rPr>
        <w:t>15</w:t>
      </w:r>
      <w:r>
        <w:rPr>
          <w:rFonts w:hint="eastAsia" w:cs="方正仿宋_GBK"/>
          <w:b w:val="0"/>
          <w:bCs w:val="0"/>
          <w:sz w:val="33"/>
          <w:szCs w:val="33"/>
          <w:lang w:eastAsia="zh-CN"/>
        </w:rPr>
        <w:t>个，在校学生人数</w:t>
      </w:r>
      <w:r>
        <w:rPr>
          <w:rFonts w:hint="eastAsia" w:cs="方正仿宋_GBK"/>
          <w:b w:val="0"/>
          <w:bCs w:val="0"/>
          <w:sz w:val="33"/>
          <w:szCs w:val="33"/>
          <w:lang w:val="en-US" w:eastAsia="zh-CN"/>
        </w:rPr>
        <w:t>316</w:t>
      </w:r>
      <w:r>
        <w:rPr>
          <w:rFonts w:hint="eastAsia" w:cs="方正仿宋_GBK"/>
          <w:b w:val="0"/>
          <w:bCs w:val="0"/>
          <w:sz w:val="33"/>
          <w:szCs w:val="33"/>
          <w:lang w:eastAsia="zh-CN"/>
        </w:rPr>
        <w:t>人。本校设有行政办、后勤办、安办。</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小学所有收入和支出均纳入部门预算管理。收入主要包括：一般公共预算拨款收入；支出包括：教育支出、社会保障和就业支出、医疗卫生与计划生育支出、住房保障支出。</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收支总预算727.44万元。</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（一）收入预算情况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727.44</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727.44</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（二）支出预算情况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727.44</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727.44</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727.44</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712.1</w:t>
      </w:r>
      <w:r>
        <w:rPr>
          <w:rFonts w:hint="eastAsia" w:ascii="方正仿宋_GBK" w:hAnsi="方正仿宋_GBK" w:eastAsia="方正仿宋_GBK" w:cs="方正仿宋_GBK"/>
          <w:b w:val="0"/>
          <w:bCs w:val="0"/>
          <w:sz w:val="33"/>
          <w:szCs w:val="33"/>
          <w:lang w:eastAsia="zh-CN"/>
        </w:rPr>
        <w:t>万元</w:t>
      </w:r>
      <w:r>
        <w:rPr>
          <w:rFonts w:hint="eastAsia" w:cs="方正仿宋_GBK"/>
          <w:b w:val="0"/>
          <w:bCs w:val="0"/>
          <w:sz w:val="33"/>
          <w:szCs w:val="33"/>
          <w:lang w:eastAsia="zh-CN"/>
        </w:rPr>
        <w:t>、</w:t>
      </w:r>
      <w:r>
        <w:rPr>
          <w:rFonts w:hint="eastAsia" w:cs="方正仿宋_GBK"/>
          <w:b w:val="0"/>
          <w:bCs w:val="0"/>
          <w:sz w:val="33"/>
          <w:szCs w:val="33"/>
          <w:lang w:val="en-US" w:eastAsia="zh-CN"/>
        </w:rPr>
        <w:t>上年结转收入15.33万元</w:t>
      </w:r>
      <w:r>
        <w:rPr>
          <w:rFonts w:hint="eastAsia" w:ascii="方正仿宋_GBK" w:hAnsi="方正仿宋_GBK" w:eastAsia="方正仿宋_GBK" w:cs="方正仿宋_GBK"/>
          <w:b w:val="0"/>
          <w:bCs w:val="0"/>
          <w:sz w:val="33"/>
          <w:szCs w:val="33"/>
          <w:lang w:eastAsia="zh-CN"/>
        </w:rPr>
        <w:t>；支出包括：教育支出</w:t>
      </w:r>
      <w:r>
        <w:rPr>
          <w:rFonts w:hint="eastAsia" w:cs="方正仿宋_GBK"/>
          <w:b w:val="0"/>
          <w:bCs w:val="0"/>
          <w:sz w:val="33"/>
          <w:szCs w:val="33"/>
          <w:lang w:val="en-US" w:eastAsia="zh-CN"/>
        </w:rPr>
        <w:t>550.79</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75.24</w:t>
      </w:r>
      <w:r>
        <w:rPr>
          <w:rFonts w:hint="eastAsia" w:ascii="方正仿宋_GBK" w:hAnsi="方正仿宋_GBK" w:eastAsia="方正仿宋_GBK" w:cs="方正仿宋_GBK"/>
          <w:b w:val="0"/>
          <w:bCs w:val="0"/>
          <w:sz w:val="33"/>
          <w:szCs w:val="33"/>
          <w:lang w:eastAsia="zh-CN"/>
        </w:rPr>
        <w:t>万元、卫生健康支出</w:t>
      </w:r>
      <w:r>
        <w:rPr>
          <w:rFonts w:hint="eastAsia" w:cs="方正仿宋_GBK"/>
          <w:b w:val="0"/>
          <w:bCs w:val="0"/>
          <w:sz w:val="33"/>
          <w:szCs w:val="33"/>
          <w:lang w:val="en-US" w:eastAsia="zh-CN"/>
        </w:rPr>
        <w:t>44.98</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56.43</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（一）一般公共预算当年拨款规模变化情况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727.44</w:t>
      </w:r>
      <w:r>
        <w:rPr>
          <w:rFonts w:hint="eastAsia" w:ascii="方正仿宋_GBK" w:hAnsi="方正仿宋_GBK" w:eastAsia="方正仿宋_GBK" w:cs="方正仿宋_GBK"/>
          <w:b w:val="0"/>
          <w:bCs w:val="0"/>
          <w:sz w:val="33"/>
          <w:szCs w:val="33"/>
          <w:lang w:eastAsia="zh-CN"/>
        </w:rPr>
        <w:t>万元，比</w:t>
      </w:r>
      <w:r>
        <w:rPr>
          <w:rFonts w:hint="eastAsia" w:cs="方正仿宋_GBK"/>
          <w:b w:val="0"/>
          <w:bCs w:val="0"/>
          <w:sz w:val="33"/>
          <w:szCs w:val="33"/>
          <w:lang w:val="en-US" w:eastAsia="zh-CN"/>
        </w:rPr>
        <w:t>2021</w:t>
      </w:r>
      <w:r>
        <w:rPr>
          <w:rFonts w:hint="eastAsia" w:ascii="方正仿宋_GBK" w:hAnsi="方正仿宋_GBK" w:eastAsia="方正仿宋_GBK" w:cs="方正仿宋_GBK"/>
          <w:b w:val="0"/>
          <w:bCs w:val="0"/>
          <w:sz w:val="33"/>
          <w:szCs w:val="33"/>
          <w:lang w:eastAsia="zh-CN"/>
        </w:rPr>
        <w:t>年预算数增加</w:t>
      </w:r>
      <w:r>
        <w:rPr>
          <w:rFonts w:hint="eastAsia" w:cs="方正仿宋_GBK"/>
          <w:b w:val="0"/>
          <w:bCs w:val="0"/>
          <w:sz w:val="33"/>
          <w:szCs w:val="33"/>
          <w:lang w:val="en-US" w:eastAsia="zh-CN"/>
        </w:rPr>
        <w:t>215.2</w:t>
      </w:r>
      <w:r>
        <w:rPr>
          <w:rFonts w:hint="eastAsia" w:ascii="方正仿宋_GBK" w:hAnsi="方正仿宋_GBK" w:eastAsia="方正仿宋_GBK" w:cs="方正仿宋_GBK"/>
          <w:b w:val="0"/>
          <w:bCs w:val="0"/>
          <w:sz w:val="33"/>
          <w:szCs w:val="33"/>
          <w:lang w:eastAsia="zh-CN"/>
        </w:rPr>
        <w:t>万元，主要原因是本年</w:t>
      </w:r>
      <w:r>
        <w:rPr>
          <w:rFonts w:hint="eastAsia" w:cs="方正仿宋_GBK"/>
          <w:b w:val="0"/>
          <w:bCs w:val="0"/>
          <w:sz w:val="33"/>
          <w:szCs w:val="33"/>
          <w:lang w:val="en-US" w:eastAsia="zh-CN"/>
        </w:rPr>
        <w:t>工农小学教师定编到双星小学、</w:t>
      </w:r>
      <w:r>
        <w:rPr>
          <w:rFonts w:hint="eastAsia" w:ascii="方正仿宋_GBK" w:hAnsi="方正仿宋_GBK" w:eastAsia="方正仿宋_GBK" w:cs="方正仿宋_GBK"/>
          <w:b w:val="0"/>
          <w:bCs w:val="0"/>
          <w:sz w:val="33"/>
          <w:szCs w:val="33"/>
          <w:lang w:eastAsia="zh-CN"/>
        </w:rPr>
        <w:t>部分教师职称等级变动后基本工资提高了标准等</w:t>
      </w:r>
      <w:r>
        <w:rPr>
          <w:rFonts w:hint="eastAsia" w:cs="方正仿宋_GBK"/>
          <w:b w:val="0"/>
          <w:bCs w:val="0"/>
          <w:sz w:val="33"/>
          <w:szCs w:val="33"/>
          <w:lang w:eastAsia="zh-CN"/>
        </w:rPr>
        <w:t>；再加上各种保险基数增加</w:t>
      </w:r>
      <w:r>
        <w:rPr>
          <w:rFonts w:hint="eastAsia" w:ascii="方正仿宋_GBK" w:hAnsi="方正仿宋_GBK" w:eastAsia="方正仿宋_GBK" w:cs="方正仿宋_GBK"/>
          <w:b w:val="0"/>
          <w:bCs w:val="0"/>
          <w:sz w:val="33"/>
          <w:szCs w:val="33"/>
          <w:lang w:eastAsia="zh-CN"/>
        </w:rPr>
        <w:t>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（二）一般公共预算当年拨款结构情况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教</w:t>
      </w:r>
      <w:bookmarkStart w:id="0" w:name="_GoBack"/>
      <w:r>
        <w:rPr>
          <w:rFonts w:hint="eastAsia" w:ascii="方正仿宋_GBK" w:hAnsi="方正仿宋_GBK" w:eastAsia="方正仿宋_GBK" w:cs="方正仿宋_GBK"/>
          <w:b w:val="0"/>
          <w:bCs w:val="0"/>
          <w:sz w:val="33"/>
          <w:szCs w:val="33"/>
          <w:lang w:eastAsia="zh-CN"/>
        </w:rPr>
        <w:t>育支出</w:t>
      </w:r>
      <w:r>
        <w:rPr>
          <w:rFonts w:hint="eastAsia" w:cs="方正仿宋_GBK"/>
          <w:b w:val="0"/>
          <w:bCs w:val="0"/>
          <w:sz w:val="33"/>
          <w:szCs w:val="33"/>
          <w:lang w:val="en-US" w:eastAsia="zh-CN"/>
        </w:rPr>
        <w:t>550.79</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75</w:t>
      </w:r>
      <w:bookmarkEnd w:id="0"/>
      <w:r>
        <w:rPr>
          <w:rFonts w:hint="eastAsia" w:cs="方正仿宋_GBK"/>
          <w:b w:val="0"/>
          <w:bCs w:val="0"/>
          <w:sz w:val="33"/>
          <w:szCs w:val="33"/>
          <w:lang w:val="en-US" w:eastAsia="zh-CN"/>
        </w:rPr>
        <w:t>.7</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75.24</w:t>
      </w:r>
      <w:r>
        <w:rPr>
          <w:rFonts w:hint="eastAsia" w:ascii="方正仿宋_GBK" w:hAnsi="方正仿宋_GBK" w:eastAsia="方正仿宋_GBK" w:cs="方正仿宋_GBK"/>
          <w:b w:val="0"/>
          <w:bCs w:val="0"/>
          <w:sz w:val="33"/>
          <w:szCs w:val="33"/>
          <w:lang w:eastAsia="zh-CN"/>
        </w:rPr>
        <w:t>万元，占10.</w:t>
      </w:r>
      <w:r>
        <w:rPr>
          <w:rFonts w:hint="eastAsia" w:cs="方正仿宋_GBK"/>
          <w:b w:val="0"/>
          <w:bCs w:val="0"/>
          <w:sz w:val="33"/>
          <w:szCs w:val="33"/>
          <w:lang w:val="en-US" w:eastAsia="zh-CN"/>
        </w:rPr>
        <w:t>3</w:t>
      </w:r>
      <w:r>
        <w:rPr>
          <w:rFonts w:hint="eastAsia" w:ascii="方正仿宋_GBK" w:hAnsi="方正仿宋_GBK" w:eastAsia="方正仿宋_GBK" w:cs="方正仿宋_GBK"/>
          <w:b w:val="0"/>
          <w:bCs w:val="0"/>
          <w:sz w:val="33"/>
          <w:szCs w:val="33"/>
          <w:lang w:eastAsia="zh-CN"/>
        </w:rPr>
        <w:t>%、卫生健康支出</w:t>
      </w:r>
      <w:r>
        <w:rPr>
          <w:rFonts w:hint="eastAsia" w:cs="方正仿宋_GBK"/>
          <w:b w:val="0"/>
          <w:bCs w:val="0"/>
          <w:sz w:val="33"/>
          <w:szCs w:val="33"/>
          <w:lang w:val="en-US" w:eastAsia="zh-CN"/>
        </w:rPr>
        <w:t>44.98</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6.2</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56.43</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7.8</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（三）一般公共预算当年拨款具体使用情况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1.教育支出（类）</w:t>
      </w:r>
      <w:r>
        <w:rPr>
          <w:rFonts w:hint="eastAsia" w:ascii="方正仿宋_GBK" w:hAnsi="方正仿宋_GBK" w:eastAsia="方正仿宋_GBK" w:cs="方正仿宋_GBK"/>
          <w:b w:val="0"/>
          <w:bCs w:val="0"/>
          <w:sz w:val="33"/>
          <w:szCs w:val="33"/>
          <w:lang w:eastAsia="zh-CN"/>
        </w:rPr>
        <w:t>普通教育（款）小学教育（项）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727.44</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2.社会保障和就业支出（类）</w:t>
      </w:r>
      <w:r>
        <w:rPr>
          <w:rFonts w:hint="eastAsia" w:ascii="方正仿宋_GBK" w:hAnsi="方正仿宋_GBK" w:eastAsia="方正仿宋_GBK" w:cs="方正仿宋_GBK"/>
          <w:b w:val="0"/>
          <w:bCs w:val="0"/>
          <w:sz w:val="33"/>
          <w:szCs w:val="33"/>
          <w:lang w:eastAsia="zh-CN"/>
        </w:rPr>
        <w:t>行政事业单位（款）机关事业单位基本养老保险（项）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75.24</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小学教职工养老保险缴费。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3.卫生健康支出（类）</w:t>
      </w:r>
      <w:r>
        <w:rPr>
          <w:rFonts w:hint="eastAsia" w:ascii="方正仿宋_GBK" w:hAnsi="方正仿宋_GBK" w:eastAsia="方正仿宋_GBK" w:cs="方正仿宋_GBK"/>
          <w:b w:val="0"/>
          <w:bCs w:val="0"/>
          <w:sz w:val="33"/>
          <w:szCs w:val="33"/>
          <w:lang w:eastAsia="zh-CN"/>
        </w:rPr>
        <w:t>行政事业单位医疗（款）事业单位医疗（项）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44.98</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小学教职工基本医疗保险缴费</w:t>
      </w:r>
      <w:r>
        <w:rPr>
          <w:rFonts w:hint="eastAsia" w:cs="方正仿宋_GBK"/>
          <w:b w:val="0"/>
          <w:bCs w:val="0"/>
          <w:sz w:val="33"/>
          <w:szCs w:val="33"/>
          <w:lang w:eastAsia="zh-CN"/>
        </w:rPr>
        <w:t>和在职人员</w:t>
      </w:r>
      <w:r>
        <w:rPr>
          <w:rFonts w:hint="eastAsia" w:ascii="方正仿宋_GBK" w:hAnsi="方正仿宋_GBK" w:eastAsia="方正仿宋_GBK" w:cs="方正仿宋_GBK"/>
          <w:b w:val="0"/>
          <w:bCs w:val="0"/>
          <w:sz w:val="33"/>
          <w:szCs w:val="33"/>
          <w:lang w:eastAsia="zh-CN"/>
        </w:rPr>
        <w:t>公务员医疗补助</w:t>
      </w:r>
      <w:r>
        <w:rPr>
          <w:rFonts w:hint="eastAsia" w:cs="方正仿宋_GBK"/>
          <w:b w:val="0"/>
          <w:bCs w:val="0"/>
          <w:sz w:val="33"/>
          <w:szCs w:val="33"/>
          <w:lang w:val="en-US" w:eastAsia="zh-CN"/>
        </w:rPr>
        <w:t>等</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.住房保障支出（类）</w:t>
      </w:r>
      <w:r>
        <w:rPr>
          <w:rFonts w:hint="eastAsia" w:ascii="方正仿宋_GBK" w:hAnsi="方正仿宋_GBK" w:eastAsia="方正仿宋_GBK" w:cs="方正仿宋_GBK"/>
          <w:b w:val="0"/>
          <w:bCs w:val="0"/>
          <w:sz w:val="33"/>
          <w:szCs w:val="33"/>
          <w:lang w:eastAsia="zh-CN"/>
        </w:rPr>
        <w:t>住房改革支出（款）住房公积金（项）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56.43</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小学教职工按广安市人力资源和社会保障局、财政局规定的基本工资和津贴补贴以及规定比例为职工缴纳的住房公积金。</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727.44</w:t>
      </w:r>
      <w:r>
        <w:rPr>
          <w:rFonts w:hint="eastAsia" w:ascii="方正仿宋_GBK" w:hAnsi="方正仿宋_GBK" w:eastAsia="方正仿宋_GBK" w:cs="方正仿宋_GBK"/>
          <w:b w:val="0"/>
          <w:bCs w:val="0"/>
          <w:sz w:val="33"/>
          <w:szCs w:val="33"/>
          <w:lang w:eastAsia="zh-CN"/>
        </w:rPr>
        <w:t>万元，其中：人员经费</w:t>
      </w:r>
      <w:r>
        <w:rPr>
          <w:rFonts w:hint="eastAsia" w:cs="方正仿宋_GBK"/>
          <w:b w:val="0"/>
          <w:bCs w:val="0"/>
          <w:sz w:val="33"/>
          <w:szCs w:val="33"/>
          <w:lang w:val="en-US" w:eastAsia="zh-CN"/>
        </w:rPr>
        <w:t>707.4</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val="en-US" w:eastAsia="zh-CN"/>
        </w:rPr>
        <w:t>项目支出15.33万元，主要是商品服务支出。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公用经费</w:t>
      </w:r>
      <w:r>
        <w:rPr>
          <w:rFonts w:hint="eastAsia" w:cs="方正仿宋_GBK"/>
          <w:b w:val="0"/>
          <w:bCs w:val="0"/>
          <w:sz w:val="33"/>
          <w:szCs w:val="33"/>
          <w:lang w:val="en-US" w:eastAsia="zh-CN"/>
        </w:rPr>
        <w:t>4.7</w:t>
      </w:r>
      <w:r>
        <w:rPr>
          <w:rFonts w:hint="eastAsia" w:ascii="方正仿宋_GBK" w:hAnsi="方正仿宋_GBK" w:eastAsia="方正仿宋_GBK" w:cs="方正仿宋_GBK"/>
          <w:b w:val="0"/>
          <w:bCs w:val="0"/>
          <w:sz w:val="33"/>
          <w:szCs w:val="33"/>
          <w:lang w:eastAsia="zh-CN"/>
        </w:rPr>
        <w:t>万元，主要包括：工会经费。其余的公用经费没有纳入本年学校预算。具体详见本年决算对应数据。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七、“三公”经费财政拨款预算安排情况说明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（一）政府采购情况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eastAsia="zh-CN"/>
        </w:rPr>
        <w:t>双星</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没有使用政府性基金预算拨款安排的支出。</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2.事业收入：</w:t>
      </w:r>
      <w:r>
        <w:rPr>
          <w:rFonts w:hint="eastAsia" w:ascii="方正仿宋_GBK" w:hAnsi="方正仿宋_GBK" w:eastAsia="方正仿宋_GBK" w:cs="方正仿宋_GBK"/>
          <w:b w:val="0"/>
          <w:bCs w:val="0"/>
          <w:sz w:val="33"/>
          <w:szCs w:val="33"/>
          <w:lang w:eastAsia="zh-CN"/>
        </w:rPr>
        <w:t>指事业单位开展专业业务活动及辅助活动所取得的收入。主要为按照国家有关部门批准的项目和标准收取的幼儿园保育费、学费、住宿费。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附件：表1.部门收支总表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表1-1.部门收入总表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表1-2.部门支出总表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表2.财政拨款收支预算总表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表2-1.财政拨款支出预算表（政府经济分类科目）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表3-1.一般公共预算基本支出预算表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表3-2.一般公共预算项目支出预算表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表3-3.一般公共预算“三公”经费支出预算表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表4.政府性基金支出预算表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表4-1.政府性基金预算“三公”经费支出预算表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ind w:firstLine="645"/>
        <w:rPr>
          <w:rFonts w:hint="eastAsia" w:ascii="方正仿宋_GBK" w:hAnsi="方正仿宋_GBK" w:eastAsia="方正仿宋_GBK" w:cs="方正仿宋_GBK"/>
          <w:sz w:val="33"/>
          <w:szCs w:val="33"/>
        </w:rPr>
      </w:pPr>
    </w:p>
    <w:p>
      <w:pPr>
        <w:pStyle w:val="3"/>
        <w:spacing w:before="12"/>
        <w:ind w:firstLine="662"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rPr>
        <mc:AlternateContent>
          <mc:Choice Requires="wps">
            <w:drawing>
              <wp:anchor distT="0" distB="0" distL="0" distR="0" simplePos="0" relativeHeight="251660288"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6192;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XPCxp80BAACNAwAADgAAAGRycy9lMm9Eb2MueG1srVNLjhMx&#10;EN0jcQfLe9KdoAzQSmcWE4YNgkgMB6j4023JP7k86eQsXIMVG44z16DsZDJ8NgiRhVN2lV+991y9&#10;uj44y/YqoQm+5/NZy5nyIkjjh55/vrt98ZozzOAl2OBVz48K+fX6+bPVFDu1CGOwUiVGIB67KfZ8&#10;zDl2TYNiVA5wFqLylNQhOci0TUMjE0yE7myzaNurZgpJxhSEQqTTzSnJ1xVfayXyR61RZWZ7Ttxy&#10;XVNdd2Vt1ivohgRxNOJMA/6BhQPjqekFagMZ2H0yf0A5I1LAoPNMBNcErY1QVQOpmbe/qfk0QlRV&#10;C5mD8WIT/j9Y8WG/TczIni848+DoiR6+fH349p29LN5METsqufHbdN5h3KYi9KCTK/8kgR2qn8eL&#10;n+qQmaDD5VXbvmrJdvGYa54uxoT5nQqOlaDn1vgiFTrYv8dMzaj0saQcW8+mnr9ZLpYEBzQp2kKm&#10;0EXijn6odzFYI2+NteUGpmF3YxPbQ3n7+iuSCPeXstJkAzie6mrqNBWjAvnWS5aPkVzxNL68UHBK&#10;cmYVTXuJCBC6DMb+TSW1tp4YFFdPPpZoF+SR3uA+JjOM5MS8siwZevPK9zyfZah+3lekp69o/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h1Uo/1QAAAAoBAAAPAAAAAAAAAAEAIAAAACIAAABkcnMv&#10;ZG93bnJldi54bWxQSwECFAAUAAAACACHTuJAXPCxp80BAACNAwAADgAAAAAAAAABACAAAAAkAQAA&#10;ZHJzL2Uyb0RvYy54bWxQSwUGAAAAAAYABgBZAQAAYwUAAAAA&#10;">
                <v:fill on="f" focussize="0,0"/>
                <v:stroke color="#000000" joinstyle="round"/>
                <v:imagedata o:title=""/>
                <o:lock v:ext="edit" aspectratio="f"/>
                <w10:wrap type="topAndBottom"/>
              </v:line>
            </w:pict>
          </mc:Fallback>
        </mc:AlternateContent>
      </w:r>
      <w:r>
        <w:rPr>
          <w:rFonts w:hint="eastAsia" w:ascii="方正仿宋_GBK" w:hAnsi="方正仿宋_GBK" w:eastAsia="方正仿宋_GBK" w:cs="方正仿宋_GBK"/>
          <w:sz w:val="33"/>
          <w:szCs w:val="33"/>
        </w:rPr>
        <w:t>武胜县</w:t>
      </w:r>
      <w:r>
        <w:rPr>
          <w:rFonts w:hint="eastAsia" w:cs="方正仿宋_GBK"/>
          <w:spacing w:val="-3"/>
          <w:sz w:val="33"/>
          <w:szCs w:val="33"/>
          <w:lang w:eastAsia="zh-CN"/>
        </w:rPr>
        <w:t>双星</w:t>
      </w:r>
      <w:r>
        <w:rPr>
          <w:rFonts w:hint="eastAsia" w:ascii="方正仿宋_GBK" w:hAnsi="方正仿宋_GBK" w:eastAsia="方正仿宋_GBK" w:cs="方正仿宋_GBK"/>
          <w:spacing w:val="-3"/>
          <w:sz w:val="33"/>
          <w:szCs w:val="33"/>
          <w:lang w:eastAsia="zh-CN"/>
        </w:rPr>
        <w:t>小学校</w:t>
      </w:r>
      <w:r>
        <w:rPr>
          <w:rFonts w:hint="eastAsia" w:ascii="方正仿宋_GBK" w:hAnsi="方正仿宋_GBK" w:eastAsia="方正仿宋_GBK" w:cs="方正仿宋_GBK"/>
          <w:sz w:val="33"/>
          <w:szCs w:val="33"/>
        </w:rPr>
        <w:tab/>
      </w:r>
      <w:r>
        <w:rPr>
          <w:rFonts w:hint="eastAsia" w:ascii="方正仿宋_GBK" w:hAnsi="方正仿宋_GBK" w:eastAsia="方正仿宋_GBK" w:cs="方正仿宋_GBK"/>
          <w:sz w:val="33"/>
          <w:szCs w:val="33"/>
          <w:lang w:val="en-US" w:eastAsia="zh-CN"/>
        </w:rPr>
        <w:t xml:space="preserve">              </w:t>
      </w:r>
      <w:r>
        <w:rPr>
          <w:rFonts w:hint="eastAsia" w:cs="方正仿宋_GBK"/>
          <w:sz w:val="33"/>
          <w:szCs w:val="33"/>
          <w:lang w:val="en-US" w:eastAsia="zh-CN"/>
        </w:rPr>
        <w:t xml:space="preserve"> </w:t>
      </w:r>
      <w:r>
        <w:rPr>
          <w:rFonts w:hint="eastAsia" w:ascii="方正仿宋_GBK" w:hAnsi="方正仿宋_GBK" w:eastAsia="方正仿宋_GBK" w:cs="方正仿宋_GBK"/>
          <w:spacing w:val="-2"/>
          <w:sz w:val="33"/>
          <w:szCs w:val="33"/>
          <w:lang w:val="en-US" w:eastAsia="zh-CN"/>
        </w:rPr>
        <w:t>202</w:t>
      </w:r>
      <w:r>
        <w:rPr>
          <w:rFonts w:hint="eastAsia" w:cs="方正仿宋_GBK"/>
          <w:spacing w:val="-2"/>
          <w:sz w:val="33"/>
          <w:szCs w:val="33"/>
          <w:lang w:val="en-US" w:eastAsia="zh-CN"/>
        </w:rPr>
        <w:t>2</w:t>
      </w:r>
      <w:r>
        <w:rPr>
          <w:rFonts w:hint="eastAsia" w:ascii="方正仿宋_GBK" w:hAnsi="方正仿宋_GBK" w:eastAsia="方正仿宋_GBK" w:cs="方正仿宋_GBK"/>
          <w:spacing w:val="-2"/>
          <w:sz w:val="33"/>
          <w:szCs w:val="33"/>
          <w:lang w:val="en-US" w:eastAsia="zh-CN"/>
        </w:rPr>
        <w:t xml:space="preserve"> </w:t>
      </w:r>
      <w:r>
        <w:rPr>
          <w:rFonts w:hint="eastAsia" w:ascii="方正仿宋_GBK" w:hAnsi="方正仿宋_GBK" w:eastAsia="方正仿宋_GBK" w:cs="方正仿宋_GBK"/>
          <w:sz w:val="33"/>
          <w:szCs w:val="33"/>
        </w:rPr>
        <w:t>年</w:t>
      </w:r>
      <w:r>
        <w:rPr>
          <w:rFonts w:hint="eastAsia" w:cs="方正仿宋_GBK"/>
          <w:sz w:val="33"/>
          <w:szCs w:val="33"/>
          <w:lang w:val="en-US" w:eastAsia="zh-CN"/>
        </w:rPr>
        <w:t>02</w:t>
      </w:r>
      <w:r>
        <w:rPr>
          <w:rFonts w:hint="eastAsia" w:ascii="方正仿宋_GBK" w:hAnsi="方正仿宋_GBK" w:eastAsia="方正仿宋_GBK" w:cs="方正仿宋_GBK"/>
          <w:sz w:val="33"/>
          <w:szCs w:val="33"/>
          <w:lang w:val="en-US" w:eastAsia="zh-CN"/>
        </w:rPr>
        <w:t>月2</w:t>
      </w:r>
      <w:r>
        <w:rPr>
          <w:rFonts w:hint="eastAsia" w:cs="方正仿宋_GBK"/>
          <w:sz w:val="33"/>
          <w:szCs w:val="33"/>
          <w:lang w:val="en-US" w:eastAsia="zh-CN"/>
        </w:rPr>
        <w:t>8</w:t>
      </w:r>
      <w:r>
        <w:rPr>
          <w:rFonts w:hint="eastAsia" w:ascii="方正仿宋_GBK" w:hAnsi="方正仿宋_GBK" w:eastAsia="方正仿宋_GBK" w:cs="方正仿宋_GBK"/>
          <w:sz w:val="33"/>
          <w:szCs w:val="33"/>
          <w:lang w:val="en-US" w:eastAsia="zh-CN"/>
        </w:rPr>
        <w:t>日</w:t>
      </w:r>
    </w:p>
    <w:p>
      <w:pPr>
        <w:pStyle w:val="3"/>
        <w:spacing w:before="10"/>
        <w:rPr>
          <w:rFonts w:hint="eastAsia"/>
        </w:rPr>
      </w:pPr>
      <w:r>
        <mc:AlternateContent>
          <mc:Choice Requires="wps">
            <w:drawing>
              <wp:anchor distT="0" distB="0" distL="0" distR="0" simplePos="0" relativeHeight="251661312"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5168;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Ua5Qjs0BAACNAwAADgAAAGRycy9lMm9Eb2MueG1srVNLjhMx&#10;EN0jcQfLe9KdQAZopTOLCcMGQSTgABV/ui35J5cnnZyFa7Biw3HmGpSdTIbPBiGycMqu8qv3nqtX&#10;1wdn2V4lNMH3fD5rOVNeBGn80PPPn26fveIMM3gJNnjV86NCfr1++mQ1xU4twhisVIkRiMduij0f&#10;c45d06AYlQOchag8JXVIDjJt09DIBBOhO9ss2vaqmUKSMQWhEOl0c0rydcXXWon8QWtUmdmeE7dc&#10;11TXXVmb9Qq6IUEcjTjTgH9g4cB4anqB2kAGdpfMH1DOiBQw6DwTwTVBayNU1UBq5u1vaj6OEFXV&#10;QuZgvNiE/w9WvN9vEzOy58858+Doie6/fL3/9p29KN5METsqufHbdN5h3KYi9KCTK/8kgR2qn8eL&#10;n+qQmaDD5VXbvmzJdvGQax4vxoT5rQqOlaDn1vgiFTrYv8NMzaj0oaQcW8+mnr9eLpYEBzQp2kKm&#10;0EXijn6odzFYI2+NteUGpmF3YxPbQ3n7+iuSCPeXstJkAzie6mrqNBWjAvnGS5aPkVzxNL68UHBK&#10;cmYVTXuJCBC6DMb+TSW1tp4YFFdPPpZoF+SR3uAuJjOM5MS8siwZevPK9zyfZah+3lekx69o/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pc0On1QAAAAoBAAAPAAAAAAAAAAEAIAAAACIAAABkcnMv&#10;ZG93bnJldi54bWxQSwECFAAUAAAACACHTuJAUa5Qjs0BAACNAwAADgAAAAAAAAABACAAAAAkAQAA&#10;ZHJzL2Uyb0RvYy54bWxQSwUGAAAAAAYABgBZAQAAYwUAAAAA&#10;">
                <v:fill on="f" focussize="0,0"/>
                <v:stroke color="#000000" joinstyle="round"/>
                <v:imagedata o:title=""/>
                <o:lock v:ext="edit" aspectratio="f"/>
                <w10:wrap type="topAndBottom"/>
              </v:line>
            </w:pict>
          </mc:Fallback>
        </mc:AlternateContent>
      </w:r>
    </w:p>
    <w:sectPr>
      <w:headerReference r:id="rId3" w:type="default"/>
      <w:footerReference r:id="rId4"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黑体_GBK">
    <w:altName w:val="Arial Unicode MS"/>
    <w:panose1 w:val="03000509000000000000"/>
    <w:charset w:val="86"/>
    <w:family w:val="auto"/>
    <w:pitch w:val="default"/>
    <w:sig w:usb0="00000000" w:usb1="00000000" w:usb2="00000000" w:usb3="00000000" w:csb0="00040000" w:csb1="00000000"/>
  </w:font>
  <w:font w:name="方正楷体_GBK">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方正仿宋_GBK">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DA4E9C"/>
    <w:rsid w:val="04B50D21"/>
    <w:rsid w:val="0521070F"/>
    <w:rsid w:val="07767206"/>
    <w:rsid w:val="0CC81662"/>
    <w:rsid w:val="0E4F53EA"/>
    <w:rsid w:val="111D544A"/>
    <w:rsid w:val="11594AE5"/>
    <w:rsid w:val="138121CC"/>
    <w:rsid w:val="139342A0"/>
    <w:rsid w:val="18FF1C8C"/>
    <w:rsid w:val="19AD5B8F"/>
    <w:rsid w:val="1B092838"/>
    <w:rsid w:val="1F054920"/>
    <w:rsid w:val="20B84F09"/>
    <w:rsid w:val="24E80CA0"/>
    <w:rsid w:val="25010678"/>
    <w:rsid w:val="252364F0"/>
    <w:rsid w:val="2729335C"/>
    <w:rsid w:val="27573AB1"/>
    <w:rsid w:val="2774380B"/>
    <w:rsid w:val="2776552A"/>
    <w:rsid w:val="2A8408D5"/>
    <w:rsid w:val="2C8D1999"/>
    <w:rsid w:val="2D42440F"/>
    <w:rsid w:val="2D6755A6"/>
    <w:rsid w:val="2D966227"/>
    <w:rsid w:val="2F7F08F4"/>
    <w:rsid w:val="2FEE573B"/>
    <w:rsid w:val="31F453ED"/>
    <w:rsid w:val="32B362FC"/>
    <w:rsid w:val="33E171BE"/>
    <w:rsid w:val="344D3642"/>
    <w:rsid w:val="34972E5B"/>
    <w:rsid w:val="34D41FAC"/>
    <w:rsid w:val="37713EB9"/>
    <w:rsid w:val="39873FD7"/>
    <w:rsid w:val="3B1F2F0D"/>
    <w:rsid w:val="3C7A711E"/>
    <w:rsid w:val="3E0241CF"/>
    <w:rsid w:val="3F78603A"/>
    <w:rsid w:val="3FF63D45"/>
    <w:rsid w:val="404963CE"/>
    <w:rsid w:val="46C41C30"/>
    <w:rsid w:val="4C8908C6"/>
    <w:rsid w:val="4ECA5A14"/>
    <w:rsid w:val="532B781E"/>
    <w:rsid w:val="545009F1"/>
    <w:rsid w:val="560C45DE"/>
    <w:rsid w:val="577C50E5"/>
    <w:rsid w:val="57DC1782"/>
    <w:rsid w:val="58A175E6"/>
    <w:rsid w:val="5B3B610F"/>
    <w:rsid w:val="5C7D6C90"/>
    <w:rsid w:val="611F6D88"/>
    <w:rsid w:val="64DE7056"/>
    <w:rsid w:val="677F50DB"/>
    <w:rsid w:val="710D2A25"/>
    <w:rsid w:val="72C13C88"/>
    <w:rsid w:val="756D6215"/>
    <w:rsid w:val="771D75C1"/>
    <w:rsid w:val="78F83C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Lines>1</Lines>
  <Paragraphs>1</Paragraphs>
  <TotalTime>2</TotalTime>
  <ScaleCrop>false</ScaleCrop>
  <LinksUpToDate>false</LinksUpToDate>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Mr.Y</cp:lastModifiedBy>
  <cp:lastPrinted>2019-07-03T03:59:00Z</cp:lastPrinted>
  <dcterms:modified xsi:type="dcterms:W3CDTF">2022-02-28T01:46:33Z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2052-11.1.0.9192</vt:lpwstr>
  </property>
  <property fmtid="{D5CDD505-2E9C-101B-9397-08002B2CF9AE}" pid="6" name="KSOSaveFontToCloudKey">
    <vt:lpwstr>354006591_btnclosed</vt:lpwstr>
  </property>
</Properties>
</file>