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宋体" w:eastAsia="方正小标宋简体"/>
          <w:color w:val="000000"/>
          <w:sz w:val="72"/>
          <w:szCs w:val="72"/>
        </w:rPr>
      </w:pPr>
      <w:bookmarkStart w:id="0" w:name="_Toc15306267"/>
    </w:p>
    <w:p>
      <w:pPr>
        <w:rPr>
          <w:rFonts w:ascii="方正小标宋简体" w:hAnsi="宋体" w:eastAsia="方正小标宋简体"/>
          <w:color w:val="000000"/>
          <w:sz w:val="72"/>
          <w:szCs w:val="72"/>
        </w:rPr>
      </w:pPr>
    </w:p>
    <w:p>
      <w:pPr>
        <w:rPr>
          <w:rFonts w:ascii="方正小标宋简体" w:hAnsi="宋体" w:eastAsia="方正小标宋简体"/>
          <w:color w:val="000000"/>
          <w:sz w:val="72"/>
          <w:szCs w:val="72"/>
        </w:rPr>
      </w:pPr>
    </w:p>
    <w:p>
      <w:pPr>
        <w:rPr>
          <w:rFonts w:ascii="方正小标宋简体" w:hAnsi="宋体" w:eastAsia="方正小标宋简体"/>
          <w:color w:val="000000"/>
          <w:sz w:val="72"/>
          <w:szCs w:val="72"/>
        </w:rPr>
      </w:pPr>
    </w:p>
    <w:p>
      <w:pPr>
        <w:jc w:val="center"/>
        <w:rPr>
          <w:rFonts w:ascii="方正小标宋_GBK" w:hAnsi="宋体" w:eastAsia="方正小标宋_GBK"/>
          <w:color w:val="000000"/>
          <w:sz w:val="62"/>
          <w:szCs w:val="72"/>
        </w:rPr>
      </w:pPr>
      <w:bookmarkStart w:id="1" w:name="_Toc15396475"/>
      <w:bookmarkStart w:id="2" w:name="_Toc15396597"/>
      <w:bookmarkStart w:id="3" w:name="_Toc15377193"/>
      <w:bookmarkStart w:id="4" w:name="_Toc15378441"/>
      <w:bookmarkStart w:id="5" w:name="_Toc15377425"/>
      <w:r>
        <w:rPr>
          <w:rFonts w:hint="eastAsia" w:ascii="方正小标宋_GBK" w:hAnsi="黑体" w:eastAsia="方正小标宋_GBK"/>
          <w:color w:val="000000"/>
          <w:sz w:val="62"/>
          <w:szCs w:val="72"/>
          <w:lang w:val="en-US" w:eastAsia="zh-CN"/>
        </w:rPr>
        <w:t>2020</w:t>
      </w:r>
      <w:r>
        <w:rPr>
          <w:rFonts w:hint="eastAsia" w:ascii="方正小标宋_GBK" w:hAnsi="宋体" w:eastAsia="方正小标宋_GBK"/>
          <w:color w:val="000000"/>
          <w:sz w:val="62"/>
          <w:szCs w:val="72"/>
        </w:rPr>
        <w:t>年度</w:t>
      </w:r>
      <w:bookmarkEnd w:id="1"/>
      <w:bookmarkEnd w:id="2"/>
      <w:bookmarkEnd w:id="3"/>
      <w:bookmarkEnd w:id="4"/>
      <w:bookmarkEnd w:id="5"/>
      <w:bookmarkStart w:id="6" w:name="_Toc15377194"/>
      <w:bookmarkStart w:id="7" w:name="_Toc15378442"/>
      <w:bookmarkStart w:id="8" w:name="_Toc15396476"/>
      <w:bookmarkStart w:id="9" w:name="_Toc15396598"/>
      <w:bookmarkStart w:id="10" w:name="_Toc15377426"/>
    </w:p>
    <w:p>
      <w:pPr>
        <w:jc w:val="center"/>
        <w:rPr>
          <w:rFonts w:ascii="方正小标宋_GBK" w:hAnsi="宋体" w:eastAsia="方正小标宋_GBK"/>
          <w:color w:val="000000"/>
          <w:sz w:val="62"/>
          <w:szCs w:val="72"/>
        </w:rPr>
      </w:pPr>
      <w:r>
        <w:rPr>
          <w:rFonts w:hint="eastAsia" w:ascii="方正小标宋_GBK" w:hAnsi="宋体" w:eastAsia="方正小标宋_GBK"/>
          <w:color w:val="000000"/>
          <w:sz w:val="62"/>
          <w:szCs w:val="72"/>
        </w:rPr>
        <w:t>武胜县</w:t>
      </w:r>
      <w:bookmarkEnd w:id="0"/>
      <w:bookmarkStart w:id="11" w:name="_Toc15306268"/>
      <w:r>
        <w:rPr>
          <w:rFonts w:hint="eastAsia" w:ascii="方正小标宋_GBK" w:hAnsi="宋体" w:eastAsia="方正小标宋_GBK"/>
          <w:color w:val="000000"/>
          <w:sz w:val="62"/>
          <w:szCs w:val="72"/>
        </w:rPr>
        <w:t>人力资源和社会保障局部门决算</w:t>
      </w:r>
      <w:bookmarkEnd w:id="6"/>
      <w:bookmarkEnd w:id="7"/>
      <w:bookmarkEnd w:id="8"/>
      <w:bookmarkEnd w:id="9"/>
      <w:bookmarkEnd w:id="10"/>
      <w:bookmarkEnd w:id="11"/>
      <w:r>
        <w:rPr>
          <w:rFonts w:hint="eastAsia" w:ascii="方正小标宋_GBK" w:hAnsi="宋体" w:eastAsia="方正小标宋_GBK"/>
          <w:color w:val="000000"/>
          <w:sz w:val="62"/>
          <w:szCs w:val="72"/>
        </w:rPr>
        <w:t>公开</w:t>
      </w:r>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p>
    <w:sdt>
      <w:sdtPr>
        <w:rPr>
          <w:rFonts w:ascii="仿宋" w:hAnsi="仿宋" w:eastAsia="仿宋" w:cs="Times New Roman"/>
          <w:b w:val="0"/>
          <w:bCs w:val="0"/>
          <w:color w:val="auto"/>
          <w:kern w:val="2"/>
          <w:lang w:val="zh-CN"/>
        </w:rPr>
        <w:id w:val="1812172"/>
        <w:docPartObj>
          <w:docPartGallery w:val="Table of Contents"/>
          <w:docPartUnique/>
        </w:docPartObj>
      </w:sdtPr>
      <w:sdtEndPr>
        <w:rPr>
          <w:rFonts w:ascii="仿宋" w:hAnsi="仿宋" w:eastAsia="仿宋" w:cs="Times New Roman"/>
          <w:b w:val="0"/>
          <w:bCs w:val="0"/>
          <w:color w:val="auto"/>
          <w:kern w:val="2"/>
          <w:sz w:val="32"/>
          <w:lang w:val="en-US"/>
        </w:rPr>
      </w:sdtEndPr>
      <w:sdtContent>
        <w:p>
          <w:pPr>
            <w:pStyle w:val="31"/>
            <w:jc w:val="center"/>
            <w:rPr>
              <w:rFonts w:ascii="方正黑体_GBK" w:eastAsia="方正黑体_GBK"/>
              <w:lang w:val="zh-CN"/>
            </w:rPr>
          </w:pPr>
          <w:r>
            <w:rPr>
              <w:rFonts w:hint="eastAsia" w:ascii="方正黑体_GBK" w:eastAsia="方正黑体_GBK"/>
              <w:sz w:val="46"/>
              <w:lang w:val="zh-CN"/>
            </w:rPr>
            <w:t>目录</w:t>
          </w:r>
        </w:p>
        <w:p>
          <w:pPr>
            <w:pStyle w:val="10"/>
            <w:rPr>
              <w:rFonts w:ascii="方正黑体_GBK" w:eastAsia="方正黑体_GBK"/>
            </w:rPr>
          </w:pPr>
          <w:r>
            <w:rPr>
              <w:rFonts w:hint="eastAsia" w:ascii="方正黑体_GBK" w:eastAsia="方正黑体_GBK"/>
            </w:rPr>
            <w:t>公开时间：20</w:t>
          </w:r>
          <w:r>
            <w:rPr>
              <w:rFonts w:hint="eastAsia" w:ascii="方正黑体_GBK" w:eastAsia="方正黑体_GBK"/>
              <w:lang w:val="en-US" w:eastAsia="zh-CN"/>
            </w:rPr>
            <w:t>21</w:t>
          </w:r>
          <w:r>
            <w:rPr>
              <w:rFonts w:hint="eastAsia" w:ascii="方正黑体_GBK" w:eastAsia="方正黑体_GBK"/>
            </w:rPr>
            <w:t>年8月</w:t>
          </w:r>
          <w:r>
            <w:rPr>
              <w:rFonts w:hint="eastAsia" w:ascii="方正黑体_GBK" w:eastAsia="方正黑体_GBK"/>
              <w:lang w:val="en-US" w:eastAsia="zh-CN"/>
            </w:rPr>
            <w:t>27</w:t>
          </w:r>
          <w:r>
            <w:rPr>
              <w:rFonts w:hint="eastAsia" w:ascii="方正黑体_GBK" w:eastAsia="方正黑体_GBK"/>
            </w:rPr>
            <w:t>日</w:t>
          </w:r>
        </w:p>
        <w:p>
          <w:pPr>
            <w:rPr>
              <w:lang w:val="zh-CN"/>
            </w:rPr>
          </w:pPr>
        </w:p>
        <w:p>
          <w:pPr>
            <w:pStyle w:val="10"/>
            <w:rPr>
              <w:rFonts w:asciiTheme="minorHAnsi" w:hAnsiTheme="minorHAnsi" w:eastAsiaTheme="minorEastAsia" w:cstheme="minorBidi"/>
              <w:sz w:val="25"/>
              <w:szCs w:val="22"/>
            </w:rPr>
          </w:pPr>
          <w:r>
            <w:rPr>
              <w:sz w:val="32"/>
            </w:rPr>
            <w:fldChar w:fldCharType="begin"/>
          </w:r>
          <w:r>
            <w:rPr>
              <w:sz w:val="32"/>
            </w:rPr>
            <w:instrText xml:space="preserve"> TOC \o "1-3" \h \z \u </w:instrText>
          </w:r>
          <w:r>
            <w:rPr>
              <w:sz w:val="32"/>
            </w:rPr>
            <w:fldChar w:fldCharType="separate"/>
          </w:r>
          <w:r>
            <w:fldChar w:fldCharType="begin"/>
          </w:r>
          <w:r>
            <w:instrText xml:space="preserve"> HYPERLINK \l "_Toc49412312" </w:instrText>
          </w:r>
          <w:r>
            <w:fldChar w:fldCharType="separate"/>
          </w:r>
          <w:r>
            <w:rPr>
              <w:rStyle w:val="16"/>
              <w:rFonts w:hint="eastAsia" w:ascii="黑体" w:hAnsi="黑体" w:eastAsia="黑体"/>
              <w:sz w:val="32"/>
            </w:rPr>
            <w:t>第一部分</w:t>
          </w:r>
          <w:r>
            <w:rPr>
              <w:rStyle w:val="16"/>
              <w:rFonts w:ascii="黑体" w:hAnsi="黑体" w:eastAsia="黑体"/>
              <w:sz w:val="32"/>
            </w:rPr>
            <w:t xml:space="preserve"> </w:t>
          </w:r>
          <w:r>
            <w:rPr>
              <w:rStyle w:val="16"/>
              <w:rFonts w:hint="eastAsia" w:ascii="黑体" w:hAnsi="黑体" w:eastAsia="黑体"/>
              <w:sz w:val="32"/>
            </w:rPr>
            <w:t>部门概况</w:t>
          </w:r>
          <w:r>
            <w:rPr>
              <w:sz w:val="32"/>
            </w:rPr>
            <w:tab/>
          </w:r>
          <w:r>
            <w:rPr>
              <w:sz w:val="32"/>
            </w:rPr>
            <w:fldChar w:fldCharType="begin"/>
          </w:r>
          <w:r>
            <w:rPr>
              <w:sz w:val="32"/>
            </w:rPr>
            <w:instrText xml:space="preserve"> PAGEREF _Toc49412312 \h </w:instrText>
          </w:r>
          <w:r>
            <w:rPr>
              <w:sz w:val="32"/>
            </w:rPr>
            <w:fldChar w:fldCharType="separate"/>
          </w:r>
          <w:r>
            <w:rPr>
              <w:sz w:val="32"/>
            </w:rPr>
            <w:t>4</w:t>
          </w:r>
          <w:r>
            <w:rPr>
              <w:sz w:val="32"/>
            </w:rPr>
            <w:fldChar w:fldCharType="end"/>
          </w:r>
          <w:r>
            <w:rPr>
              <w:sz w:val="32"/>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"_Toc49412313" </w:instrText>
          </w:r>
          <w:r>
            <w:fldChar w:fldCharType="separate"/>
          </w:r>
          <w:r>
            <w:rPr>
              <w:rStyle w:val="16"/>
              <w:rFonts w:hint="eastAsia" w:ascii="黑体" w:hAnsi="黑体" w:eastAsia="黑体"/>
              <w:sz w:val="25"/>
            </w:rPr>
            <w:t>一、基本职能及主要工作</w:t>
          </w:r>
          <w:r>
            <w:rPr>
              <w:sz w:val="25"/>
            </w:rPr>
            <w:tab/>
          </w:r>
          <w:r>
            <w:rPr>
              <w:sz w:val="25"/>
            </w:rPr>
            <w:fldChar w:fldCharType="begin"/>
          </w:r>
          <w:r>
            <w:rPr>
              <w:sz w:val="25"/>
            </w:rPr>
            <w:instrText xml:space="preserve"> PAGEREF _Toc49412313 \h </w:instrText>
          </w:r>
          <w:r>
            <w:rPr>
              <w:sz w:val="25"/>
            </w:rPr>
            <w:fldChar w:fldCharType="separate"/>
          </w:r>
          <w:r>
            <w:rPr>
              <w:sz w:val="25"/>
            </w:rPr>
            <w:t>4</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"_Toc49412314" </w:instrText>
          </w:r>
          <w:r>
            <w:fldChar w:fldCharType="separate"/>
          </w:r>
          <w:r>
            <w:rPr>
              <w:rStyle w:val="16"/>
              <w:rFonts w:hint="eastAsia" w:ascii="仿宋" w:hAnsi="仿宋" w:eastAsia="仿宋"/>
              <w:bCs/>
              <w:sz w:val="25"/>
            </w:rPr>
            <w:t>（一）主要职能。</w:t>
          </w:r>
          <w:r>
            <w:rPr>
              <w:sz w:val="25"/>
            </w:rPr>
            <w:tab/>
          </w:r>
          <w:r>
            <w:rPr>
              <w:sz w:val="25"/>
            </w:rPr>
            <w:fldChar w:fldCharType="begin"/>
          </w:r>
          <w:r>
            <w:rPr>
              <w:sz w:val="25"/>
            </w:rPr>
            <w:instrText xml:space="preserve"> PAGEREF _Toc49412314 \h </w:instrText>
          </w:r>
          <w:r>
            <w:rPr>
              <w:sz w:val="25"/>
            </w:rPr>
            <w:fldChar w:fldCharType="separate"/>
          </w:r>
          <w:r>
            <w:rPr>
              <w:sz w:val="25"/>
            </w:rPr>
            <w:t>4</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"_Toc49412315" </w:instrText>
          </w:r>
          <w:r>
            <w:fldChar w:fldCharType="separate"/>
          </w:r>
          <w:r>
            <w:rPr>
              <w:rStyle w:val="16"/>
              <w:rFonts w:hint="eastAsia" w:ascii="仿宋" w:hAnsi="仿宋" w:eastAsia="仿宋"/>
              <w:bCs/>
              <w:sz w:val="25"/>
            </w:rPr>
            <w:t>（二）</w:t>
          </w:r>
          <w:r>
            <w:rPr>
              <w:rStyle w:val="16"/>
              <w:rFonts w:hint="eastAsia" w:ascii="仿宋" w:hAnsi="仿宋" w:eastAsia="仿宋"/>
              <w:bCs/>
              <w:sz w:val="25"/>
              <w:lang w:val="en-US" w:eastAsia="zh-CN"/>
            </w:rPr>
            <w:t>2020</w:t>
          </w:r>
          <w:r>
            <w:rPr>
              <w:rStyle w:val="16"/>
              <w:rFonts w:hint="eastAsia" w:ascii="仿宋" w:hAnsi="仿宋" w:eastAsia="仿宋"/>
              <w:bCs/>
              <w:sz w:val="25"/>
            </w:rPr>
            <w:t>年重点工作完成情况。</w:t>
          </w:r>
          <w:r>
            <w:rPr>
              <w:sz w:val="25"/>
            </w:rPr>
            <w:tab/>
          </w:r>
          <w:r>
            <w:rPr>
              <w:sz w:val="25"/>
            </w:rPr>
            <w:fldChar w:fldCharType="begin"/>
          </w:r>
          <w:r>
            <w:rPr>
              <w:sz w:val="25"/>
            </w:rPr>
            <w:instrText xml:space="preserve"> PAGEREF _Toc49412315 \h </w:instrText>
          </w:r>
          <w:r>
            <w:rPr>
              <w:sz w:val="25"/>
            </w:rPr>
            <w:fldChar w:fldCharType="separate"/>
          </w:r>
          <w:r>
            <w:rPr>
              <w:sz w:val="25"/>
            </w:rPr>
            <w:t>7</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"_Toc49412316" </w:instrText>
          </w:r>
          <w:r>
            <w:fldChar w:fldCharType="separate"/>
          </w:r>
          <w:r>
            <w:rPr>
              <w:rStyle w:val="16"/>
              <w:rFonts w:hint="eastAsia" w:ascii="黑体" w:eastAsia="黑体"/>
              <w:sz w:val="25"/>
            </w:rPr>
            <w:t>二、</w:t>
          </w:r>
          <w:r>
            <w:rPr>
              <w:rStyle w:val="16"/>
              <w:rFonts w:hint="eastAsia" w:ascii="黑体" w:hAnsi="黑体" w:eastAsia="黑体"/>
              <w:sz w:val="25"/>
            </w:rPr>
            <w:t>机构设置</w:t>
          </w:r>
          <w:r>
            <w:rPr>
              <w:sz w:val="25"/>
            </w:rPr>
            <w:tab/>
          </w:r>
          <w:r>
            <w:rPr>
              <w:sz w:val="25"/>
            </w:rPr>
            <w:fldChar w:fldCharType="begin"/>
          </w:r>
          <w:r>
            <w:rPr>
              <w:sz w:val="25"/>
            </w:rPr>
            <w:instrText xml:space="preserve"> PAGEREF _Toc49412316 \h </w:instrText>
          </w:r>
          <w:r>
            <w:rPr>
              <w:sz w:val="25"/>
            </w:rPr>
            <w:fldChar w:fldCharType="separate"/>
          </w:r>
          <w:r>
            <w:rPr>
              <w:sz w:val="25"/>
            </w:rPr>
            <w:t>7</w:t>
          </w:r>
          <w:r>
            <w:rPr>
              <w:sz w:val="25"/>
            </w:rPr>
            <w:fldChar w:fldCharType="end"/>
          </w:r>
          <w:r>
            <w:rPr>
              <w:sz w:val="25"/>
            </w:rPr>
            <w:fldChar w:fldCharType="end"/>
          </w:r>
        </w:p>
        <w:p>
          <w:pPr>
            <w:pStyle w:val="10"/>
            <w:rPr>
              <w:rFonts w:asciiTheme="minorHAnsi" w:hAnsiTheme="minorHAnsi" w:eastAsiaTheme="minorEastAsia" w:cstheme="minorBidi"/>
              <w:sz w:val="25"/>
              <w:szCs w:val="22"/>
            </w:rPr>
          </w:pPr>
          <w:r>
            <w:fldChar w:fldCharType="begin"/>
          </w:r>
          <w:r>
            <w:instrText xml:space="preserve"> HYPERLINK \l "_Toc49412317" </w:instrText>
          </w:r>
          <w:r>
            <w:fldChar w:fldCharType="separate"/>
          </w:r>
          <w:r>
            <w:rPr>
              <w:rStyle w:val="16"/>
              <w:rFonts w:hint="eastAsia" w:ascii="黑体" w:hAnsi="黑体" w:eastAsia="黑体"/>
              <w:sz w:val="32"/>
            </w:rPr>
            <w:t>第二部分</w:t>
          </w:r>
          <w:r>
            <w:rPr>
              <w:rStyle w:val="16"/>
              <w:rFonts w:ascii="黑体" w:hAnsi="黑体" w:eastAsia="黑体"/>
              <w:sz w:val="32"/>
            </w:rPr>
            <w:t xml:space="preserve"> </w:t>
          </w:r>
          <w:r>
            <w:rPr>
              <w:rStyle w:val="16"/>
              <w:rFonts w:hint="eastAsia" w:ascii="黑体" w:hAnsi="黑体" w:eastAsia="黑体"/>
              <w:sz w:val="32"/>
              <w:lang w:val="en-US" w:eastAsia="zh-CN"/>
            </w:rPr>
            <w:t>2020</w:t>
          </w:r>
          <w:r>
            <w:rPr>
              <w:rStyle w:val="16"/>
              <w:rFonts w:hint="eastAsia" w:ascii="黑体" w:hAnsi="黑体" w:eastAsia="黑体"/>
              <w:sz w:val="32"/>
            </w:rPr>
            <w:t>年度部门决算情况说明</w:t>
          </w:r>
          <w:r>
            <w:rPr>
              <w:sz w:val="32"/>
            </w:rPr>
            <w:tab/>
          </w:r>
          <w:r>
            <w:rPr>
              <w:sz w:val="32"/>
            </w:rPr>
            <w:fldChar w:fldCharType="begin"/>
          </w:r>
          <w:r>
            <w:rPr>
              <w:sz w:val="32"/>
            </w:rPr>
            <w:instrText xml:space="preserve"> PAGEREF _Toc49412317 \h </w:instrText>
          </w:r>
          <w:r>
            <w:rPr>
              <w:sz w:val="32"/>
            </w:rPr>
            <w:fldChar w:fldCharType="separate"/>
          </w:r>
          <w:r>
            <w:rPr>
              <w:sz w:val="32"/>
            </w:rPr>
            <w:t>18</w:t>
          </w:r>
          <w:r>
            <w:rPr>
              <w:sz w:val="32"/>
            </w:rPr>
            <w:fldChar w:fldCharType="end"/>
          </w:r>
          <w:r>
            <w:rPr>
              <w:sz w:val="32"/>
            </w:rPr>
            <w:fldChar w:fldCharType="end"/>
          </w:r>
        </w:p>
        <w:p>
          <w:pPr>
            <w:pStyle w:val="11"/>
            <w:tabs>
              <w:tab w:val="left" w:pos="1260"/>
            </w:tabs>
            <w:rPr>
              <w:rFonts w:asciiTheme="minorHAnsi" w:hAnsiTheme="minorHAnsi" w:eastAsiaTheme="minorEastAsia" w:cstheme="minorBidi"/>
              <w:sz w:val="25"/>
              <w:szCs w:val="22"/>
            </w:rPr>
          </w:pPr>
          <w:r>
            <w:fldChar w:fldCharType="begin"/>
          </w:r>
          <w:r>
            <w:instrText xml:space="preserve"> HYPERLINK \l "_Toc49412318" </w:instrText>
          </w:r>
          <w:r>
            <w:fldChar w:fldCharType="separate"/>
          </w:r>
          <w:r>
            <w:rPr>
              <w:rStyle w:val="16"/>
              <w:rFonts w:hint="eastAsia" w:ascii="黑体" w:hAnsi="黑体" w:eastAsia="黑体" w:cstheme="majorBidi"/>
              <w:bCs/>
              <w:sz w:val="25"/>
            </w:rPr>
            <w:t>一、</w:t>
          </w:r>
          <w:r>
            <w:rPr>
              <w:rFonts w:asciiTheme="minorHAnsi" w:hAnsiTheme="minorHAnsi" w:eastAsiaTheme="minorEastAsia" w:cstheme="minorBidi"/>
              <w:sz w:val="25"/>
              <w:szCs w:val="22"/>
            </w:rPr>
            <w:tab/>
          </w:r>
          <w:r>
            <w:rPr>
              <w:rStyle w:val="16"/>
              <w:rFonts w:hint="eastAsia" w:ascii="黑体" w:hAnsi="黑体" w:eastAsia="黑体"/>
              <w:sz w:val="25"/>
            </w:rPr>
            <w:t>收</w:t>
          </w:r>
          <w:r>
            <w:rPr>
              <w:rStyle w:val="16"/>
              <w:rFonts w:hint="eastAsia" w:ascii="黑体" w:hAnsi="黑体" w:eastAsia="黑体" w:cstheme="majorBidi"/>
              <w:bCs/>
              <w:sz w:val="25"/>
            </w:rPr>
            <w:t>入支出决算总体情况说明</w:t>
          </w:r>
          <w:r>
            <w:rPr>
              <w:sz w:val="25"/>
            </w:rPr>
            <w:tab/>
          </w:r>
          <w:r>
            <w:rPr>
              <w:sz w:val="25"/>
            </w:rPr>
            <w:fldChar w:fldCharType="begin"/>
          </w:r>
          <w:r>
            <w:rPr>
              <w:sz w:val="25"/>
            </w:rPr>
            <w:instrText xml:space="preserve"> PAGEREF _Toc49412318 \h </w:instrText>
          </w:r>
          <w:r>
            <w:rPr>
              <w:sz w:val="25"/>
            </w:rPr>
            <w:fldChar w:fldCharType="separate"/>
          </w:r>
          <w:r>
            <w:rPr>
              <w:sz w:val="25"/>
            </w:rPr>
            <w:t>18</w:t>
          </w:r>
          <w:r>
            <w:rPr>
              <w:sz w:val="25"/>
            </w:rPr>
            <w:fldChar w:fldCharType="end"/>
          </w:r>
          <w:r>
            <w:rPr>
              <w:sz w:val="25"/>
            </w:rPr>
            <w:fldChar w:fldCharType="end"/>
          </w:r>
        </w:p>
        <w:p>
          <w:pPr>
            <w:pStyle w:val="11"/>
            <w:tabs>
              <w:tab w:val="left" w:pos="1260"/>
            </w:tabs>
            <w:rPr>
              <w:rFonts w:asciiTheme="minorHAnsi" w:hAnsiTheme="minorHAnsi" w:eastAsiaTheme="minorEastAsia" w:cstheme="minorBidi"/>
              <w:sz w:val="25"/>
              <w:szCs w:val="22"/>
            </w:rPr>
          </w:pPr>
          <w:r>
            <w:fldChar w:fldCharType="begin"/>
          </w:r>
          <w:r>
            <w:instrText xml:space="preserve"> HYPERLINK \l "_Toc49412319" </w:instrText>
          </w:r>
          <w:r>
            <w:fldChar w:fldCharType="separate"/>
          </w:r>
          <w:r>
            <w:rPr>
              <w:rStyle w:val="16"/>
              <w:rFonts w:hint="eastAsia" w:ascii="黑体" w:hAnsi="黑体" w:eastAsia="黑体" w:cstheme="majorBidi"/>
              <w:bCs/>
              <w:sz w:val="25"/>
            </w:rPr>
            <w:t>二、</w:t>
          </w:r>
          <w:r>
            <w:rPr>
              <w:rFonts w:asciiTheme="minorHAnsi" w:hAnsiTheme="minorHAnsi" w:eastAsiaTheme="minorEastAsia" w:cstheme="minorBidi"/>
              <w:sz w:val="25"/>
              <w:szCs w:val="22"/>
            </w:rPr>
            <w:tab/>
          </w:r>
          <w:r>
            <w:rPr>
              <w:rStyle w:val="16"/>
              <w:rFonts w:hint="eastAsia" w:ascii="黑体" w:hAnsi="黑体" w:eastAsia="黑体"/>
              <w:sz w:val="25"/>
            </w:rPr>
            <w:t>收</w:t>
          </w:r>
          <w:r>
            <w:rPr>
              <w:rStyle w:val="16"/>
              <w:rFonts w:hint="eastAsia" w:ascii="黑体" w:hAnsi="黑体" w:eastAsia="黑体" w:cstheme="majorBidi"/>
              <w:bCs/>
              <w:sz w:val="25"/>
            </w:rPr>
            <w:t>入决算情况说明</w:t>
          </w:r>
          <w:r>
            <w:rPr>
              <w:sz w:val="25"/>
            </w:rPr>
            <w:tab/>
          </w:r>
          <w:r>
            <w:rPr>
              <w:sz w:val="25"/>
            </w:rPr>
            <w:fldChar w:fldCharType="begin"/>
          </w:r>
          <w:r>
            <w:rPr>
              <w:sz w:val="25"/>
            </w:rPr>
            <w:instrText xml:space="preserve"> PAGEREF _Toc49412319 \h </w:instrText>
          </w:r>
          <w:r>
            <w:rPr>
              <w:sz w:val="25"/>
            </w:rPr>
            <w:fldChar w:fldCharType="separate"/>
          </w:r>
          <w:r>
            <w:rPr>
              <w:sz w:val="25"/>
            </w:rPr>
            <w:t>18</w:t>
          </w:r>
          <w:r>
            <w:rPr>
              <w:sz w:val="25"/>
            </w:rPr>
            <w:fldChar w:fldCharType="end"/>
          </w:r>
          <w:r>
            <w:rPr>
              <w:sz w:val="25"/>
            </w:rPr>
            <w:fldChar w:fldCharType="end"/>
          </w:r>
        </w:p>
        <w:p>
          <w:pPr>
            <w:pStyle w:val="11"/>
            <w:tabs>
              <w:tab w:val="left" w:pos="1260"/>
            </w:tabs>
            <w:rPr>
              <w:rFonts w:asciiTheme="minorHAnsi" w:hAnsiTheme="minorHAnsi" w:eastAsiaTheme="minorEastAsia" w:cstheme="minorBidi"/>
              <w:sz w:val="25"/>
              <w:szCs w:val="22"/>
            </w:rPr>
          </w:pPr>
          <w:r>
            <w:fldChar w:fldCharType="begin"/>
          </w:r>
          <w:r>
            <w:instrText xml:space="preserve"> HYPERLINK \l "_Toc49412320" </w:instrText>
          </w:r>
          <w:r>
            <w:fldChar w:fldCharType="separate"/>
          </w:r>
          <w:r>
            <w:rPr>
              <w:rStyle w:val="16"/>
              <w:rFonts w:hint="eastAsia" w:ascii="黑体" w:hAnsi="黑体" w:eastAsia="黑体" w:cstheme="majorBidi"/>
              <w:bCs/>
              <w:sz w:val="25"/>
            </w:rPr>
            <w:t>三、</w:t>
          </w:r>
          <w:r>
            <w:rPr>
              <w:rFonts w:asciiTheme="minorHAnsi" w:hAnsiTheme="minorHAnsi" w:eastAsiaTheme="minorEastAsia" w:cstheme="minorBidi"/>
              <w:sz w:val="25"/>
              <w:szCs w:val="22"/>
            </w:rPr>
            <w:tab/>
          </w:r>
          <w:r>
            <w:rPr>
              <w:rStyle w:val="16"/>
              <w:rFonts w:hint="eastAsia" w:ascii="黑体" w:hAnsi="黑体" w:eastAsia="黑体"/>
              <w:sz w:val="25"/>
            </w:rPr>
            <w:t>支</w:t>
          </w:r>
          <w:r>
            <w:rPr>
              <w:rStyle w:val="16"/>
              <w:rFonts w:hint="eastAsia" w:ascii="黑体" w:hAnsi="黑体" w:eastAsia="黑体" w:cstheme="majorBidi"/>
              <w:bCs/>
              <w:sz w:val="25"/>
            </w:rPr>
            <w:t>出决算情况说明</w:t>
          </w:r>
          <w:r>
            <w:rPr>
              <w:sz w:val="25"/>
            </w:rPr>
            <w:tab/>
          </w:r>
          <w:r>
            <w:rPr>
              <w:sz w:val="25"/>
            </w:rPr>
            <w:fldChar w:fldCharType="begin"/>
          </w:r>
          <w:r>
            <w:rPr>
              <w:sz w:val="25"/>
            </w:rPr>
            <w:instrText xml:space="preserve"> PAGEREF _Toc49412320 \h </w:instrText>
          </w:r>
          <w:r>
            <w:rPr>
              <w:sz w:val="25"/>
            </w:rPr>
            <w:fldChar w:fldCharType="separate"/>
          </w:r>
          <w:r>
            <w:rPr>
              <w:sz w:val="25"/>
            </w:rPr>
            <w:t>19</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"_Toc49412321" </w:instrText>
          </w:r>
          <w:r>
            <w:fldChar w:fldCharType="separate"/>
          </w:r>
          <w:r>
            <w:rPr>
              <w:rStyle w:val="16"/>
              <w:rFonts w:hint="eastAsia" w:ascii="黑体" w:hAnsi="黑体" w:eastAsia="黑体"/>
              <w:sz w:val="25"/>
            </w:rPr>
            <w:t>四、财</w:t>
          </w:r>
          <w:r>
            <w:rPr>
              <w:rStyle w:val="16"/>
              <w:rFonts w:hint="eastAsia" w:ascii="黑体" w:hAnsi="黑体" w:eastAsia="黑体" w:cstheme="majorBidi"/>
              <w:bCs/>
              <w:sz w:val="25"/>
            </w:rPr>
            <w:t>政拨款收入支出决算总体情况说明</w:t>
          </w:r>
          <w:r>
            <w:rPr>
              <w:sz w:val="25"/>
            </w:rPr>
            <w:tab/>
          </w:r>
          <w:r>
            <w:rPr>
              <w:sz w:val="25"/>
            </w:rPr>
            <w:fldChar w:fldCharType="begin"/>
          </w:r>
          <w:r>
            <w:rPr>
              <w:sz w:val="25"/>
            </w:rPr>
            <w:instrText xml:space="preserve"> PAGEREF _Toc49412321 \h </w:instrText>
          </w:r>
          <w:r>
            <w:rPr>
              <w:sz w:val="25"/>
            </w:rPr>
            <w:fldChar w:fldCharType="separate"/>
          </w:r>
          <w:r>
            <w:rPr>
              <w:sz w:val="25"/>
            </w:rPr>
            <w:t>20</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"_Toc49412322" </w:instrText>
          </w:r>
          <w:r>
            <w:fldChar w:fldCharType="separate"/>
          </w:r>
          <w:r>
            <w:rPr>
              <w:rStyle w:val="16"/>
              <w:rFonts w:hint="eastAsia" w:ascii="黑体" w:hAnsi="黑体" w:eastAsia="黑体"/>
              <w:sz w:val="25"/>
            </w:rPr>
            <w:t>五、</w:t>
          </w:r>
          <w:r>
            <w:rPr>
              <w:rStyle w:val="16"/>
              <w:rFonts w:hint="eastAsia" w:ascii="黑体" w:hAnsi="黑体" w:eastAsia="黑体"/>
              <w:b/>
              <w:sz w:val="25"/>
            </w:rPr>
            <w:t>一</w:t>
          </w:r>
          <w:r>
            <w:rPr>
              <w:rStyle w:val="16"/>
              <w:rFonts w:hint="eastAsia" w:ascii="黑体" w:hAnsi="黑体" w:eastAsia="黑体" w:cstheme="majorBidi"/>
              <w:bCs/>
              <w:sz w:val="25"/>
            </w:rPr>
            <w:t>般公共预算财政拨款支出决算情况说明</w:t>
          </w:r>
          <w:r>
            <w:rPr>
              <w:sz w:val="25"/>
            </w:rPr>
            <w:tab/>
          </w:r>
          <w:r>
            <w:rPr>
              <w:sz w:val="25"/>
            </w:rPr>
            <w:fldChar w:fldCharType="begin"/>
          </w:r>
          <w:r>
            <w:rPr>
              <w:sz w:val="25"/>
            </w:rPr>
            <w:instrText xml:space="preserve"> PAGEREF _Toc49412322 \h </w:instrText>
          </w:r>
          <w:r>
            <w:rPr>
              <w:sz w:val="25"/>
            </w:rPr>
            <w:fldChar w:fldCharType="separate"/>
          </w:r>
          <w:r>
            <w:rPr>
              <w:sz w:val="25"/>
            </w:rPr>
            <w:t>21</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"_Toc49412323" </w:instrText>
          </w:r>
          <w:r>
            <w:fldChar w:fldCharType="separate"/>
          </w:r>
          <w:r>
            <w:rPr>
              <w:rStyle w:val="16"/>
              <w:rFonts w:hint="eastAsia" w:ascii="仿宋" w:hAnsi="仿宋" w:eastAsia="仿宋"/>
              <w:b/>
              <w:sz w:val="25"/>
            </w:rPr>
            <w:t>（一）一般公共预算财政拨款支出决算总体情况</w:t>
          </w:r>
          <w:r>
            <w:rPr>
              <w:sz w:val="25"/>
            </w:rPr>
            <w:tab/>
          </w:r>
          <w:r>
            <w:rPr>
              <w:sz w:val="25"/>
            </w:rPr>
            <w:fldChar w:fldCharType="begin"/>
          </w:r>
          <w:r>
            <w:rPr>
              <w:sz w:val="25"/>
            </w:rPr>
            <w:instrText xml:space="preserve"> PAGEREF _Toc49412323 \h </w:instrText>
          </w:r>
          <w:r>
            <w:rPr>
              <w:sz w:val="25"/>
            </w:rPr>
            <w:fldChar w:fldCharType="separate"/>
          </w:r>
          <w:r>
            <w:rPr>
              <w:sz w:val="25"/>
            </w:rPr>
            <w:t>21</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"_Toc49412324" </w:instrText>
          </w:r>
          <w:r>
            <w:fldChar w:fldCharType="separate"/>
          </w:r>
          <w:r>
            <w:rPr>
              <w:rStyle w:val="16"/>
              <w:rFonts w:hint="eastAsia" w:ascii="仿宋" w:hAnsi="仿宋" w:eastAsia="仿宋"/>
              <w:b/>
              <w:sz w:val="25"/>
            </w:rPr>
            <w:t>（二）一般公共预算财政拨款支出决算结构情况</w:t>
          </w:r>
          <w:r>
            <w:rPr>
              <w:sz w:val="25"/>
            </w:rPr>
            <w:tab/>
          </w:r>
          <w:r>
            <w:rPr>
              <w:sz w:val="25"/>
            </w:rPr>
            <w:fldChar w:fldCharType="begin"/>
          </w:r>
          <w:r>
            <w:rPr>
              <w:sz w:val="25"/>
            </w:rPr>
            <w:instrText xml:space="preserve"> PAGEREF _Toc49412324 \h </w:instrText>
          </w:r>
          <w:r>
            <w:rPr>
              <w:sz w:val="25"/>
            </w:rPr>
            <w:fldChar w:fldCharType="separate"/>
          </w:r>
          <w:r>
            <w:rPr>
              <w:sz w:val="25"/>
            </w:rPr>
            <w:t>22</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"_Toc49412325" </w:instrText>
          </w:r>
          <w:r>
            <w:fldChar w:fldCharType="separate"/>
          </w:r>
          <w:r>
            <w:rPr>
              <w:rStyle w:val="16"/>
              <w:rFonts w:hint="eastAsia" w:ascii="仿宋" w:hAnsi="仿宋" w:eastAsia="仿宋"/>
              <w:b/>
              <w:sz w:val="25"/>
            </w:rPr>
            <w:t>（三）一般公共预算财政拨款支出决算具体情况</w:t>
          </w:r>
          <w:r>
            <w:rPr>
              <w:sz w:val="25"/>
            </w:rPr>
            <w:tab/>
          </w:r>
          <w:r>
            <w:rPr>
              <w:sz w:val="25"/>
            </w:rPr>
            <w:fldChar w:fldCharType="begin"/>
          </w:r>
          <w:r>
            <w:rPr>
              <w:sz w:val="25"/>
            </w:rPr>
            <w:instrText xml:space="preserve"> PAGEREF _Toc49412325 \h </w:instrText>
          </w:r>
          <w:r>
            <w:rPr>
              <w:sz w:val="25"/>
            </w:rPr>
            <w:fldChar w:fldCharType="separate"/>
          </w:r>
          <w:r>
            <w:rPr>
              <w:sz w:val="25"/>
            </w:rPr>
            <w:t>22</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"_Toc49412326" </w:instrText>
          </w:r>
          <w:r>
            <w:fldChar w:fldCharType="separate"/>
          </w:r>
          <w:r>
            <w:rPr>
              <w:rStyle w:val="16"/>
              <w:rFonts w:hint="eastAsia" w:ascii="黑体" w:eastAsia="黑体"/>
              <w:sz w:val="25"/>
            </w:rPr>
            <w:t>六</w:t>
          </w:r>
          <w:r>
            <w:rPr>
              <w:rStyle w:val="16"/>
              <w:rFonts w:hint="eastAsia" w:ascii="黑体" w:eastAsia="黑体"/>
              <w:b/>
              <w:sz w:val="25"/>
            </w:rPr>
            <w:t>、</w:t>
          </w:r>
          <w:r>
            <w:rPr>
              <w:rStyle w:val="16"/>
              <w:rFonts w:hint="eastAsia" w:ascii="黑体" w:hAnsi="黑体" w:eastAsia="黑体"/>
              <w:b/>
              <w:sz w:val="25"/>
            </w:rPr>
            <w:t>一</w:t>
          </w:r>
          <w:r>
            <w:rPr>
              <w:rStyle w:val="16"/>
              <w:rFonts w:hint="eastAsia" w:ascii="黑体" w:hAnsi="黑体" w:eastAsia="黑体" w:cstheme="majorBidi"/>
              <w:bCs/>
              <w:sz w:val="25"/>
            </w:rPr>
            <w:t>般公共预算财政拨款基本支出决算情况说明</w:t>
          </w:r>
          <w:r>
            <w:rPr>
              <w:sz w:val="25"/>
            </w:rPr>
            <w:tab/>
          </w:r>
          <w:r>
            <w:rPr>
              <w:sz w:val="25"/>
            </w:rPr>
            <w:fldChar w:fldCharType="begin"/>
          </w:r>
          <w:r>
            <w:rPr>
              <w:sz w:val="25"/>
            </w:rPr>
            <w:instrText xml:space="preserve"> PAGEREF _Toc49412326 \h </w:instrText>
          </w:r>
          <w:r>
            <w:rPr>
              <w:sz w:val="25"/>
            </w:rPr>
            <w:fldChar w:fldCharType="separate"/>
          </w:r>
          <w:r>
            <w:rPr>
              <w:sz w:val="25"/>
            </w:rPr>
            <w:t>23</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"_Toc49412327" </w:instrText>
          </w:r>
          <w:r>
            <w:fldChar w:fldCharType="separate"/>
          </w:r>
          <w:r>
            <w:rPr>
              <w:rStyle w:val="16"/>
              <w:rFonts w:hint="eastAsia" w:ascii="黑体" w:eastAsia="黑体"/>
              <w:sz w:val="25"/>
            </w:rPr>
            <w:t>七、</w:t>
          </w:r>
          <w:r>
            <w:rPr>
              <w:rStyle w:val="16"/>
              <w:rFonts w:ascii="黑体" w:hAnsi="黑体" w:eastAsia="黑体" w:cstheme="majorBidi"/>
              <w:b/>
              <w:bCs/>
              <w:sz w:val="25"/>
            </w:rPr>
            <w:t>“</w:t>
          </w:r>
          <w:r>
            <w:rPr>
              <w:rStyle w:val="16"/>
              <w:rFonts w:hint="eastAsia" w:ascii="黑体" w:hAnsi="黑体" w:eastAsia="黑体" w:cstheme="majorBidi"/>
              <w:bCs/>
              <w:sz w:val="25"/>
            </w:rPr>
            <w:t>三公”经费财政拨款支出决算情况说明</w:t>
          </w:r>
          <w:r>
            <w:rPr>
              <w:sz w:val="25"/>
            </w:rPr>
            <w:tab/>
          </w:r>
          <w:r>
            <w:rPr>
              <w:sz w:val="25"/>
            </w:rPr>
            <w:fldChar w:fldCharType="begin"/>
          </w:r>
          <w:r>
            <w:rPr>
              <w:sz w:val="25"/>
            </w:rPr>
            <w:instrText xml:space="preserve"> PAGEREF _Toc49412327 \h </w:instrText>
          </w:r>
          <w:r>
            <w:rPr>
              <w:sz w:val="25"/>
            </w:rPr>
            <w:fldChar w:fldCharType="separate"/>
          </w:r>
          <w:r>
            <w:rPr>
              <w:sz w:val="25"/>
            </w:rPr>
            <w:t>24</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"_Toc49412328" </w:instrText>
          </w:r>
          <w:r>
            <w:fldChar w:fldCharType="separate"/>
          </w:r>
          <w:r>
            <w:rPr>
              <w:rStyle w:val="16"/>
              <w:rFonts w:hint="eastAsia" w:ascii="仿宋" w:hAnsi="仿宋" w:eastAsia="仿宋"/>
              <w:b/>
              <w:sz w:val="25"/>
            </w:rPr>
            <w:t>（一）“三公”经费财政拨款支出决算总体情况说明</w:t>
          </w:r>
          <w:r>
            <w:rPr>
              <w:sz w:val="25"/>
            </w:rPr>
            <w:tab/>
          </w:r>
          <w:r>
            <w:rPr>
              <w:sz w:val="25"/>
            </w:rPr>
            <w:fldChar w:fldCharType="begin"/>
          </w:r>
          <w:r>
            <w:rPr>
              <w:sz w:val="25"/>
            </w:rPr>
            <w:instrText xml:space="preserve"> PAGEREF _Toc49412328 \h </w:instrText>
          </w:r>
          <w:r>
            <w:rPr>
              <w:sz w:val="25"/>
            </w:rPr>
            <w:fldChar w:fldCharType="separate"/>
          </w:r>
          <w:r>
            <w:rPr>
              <w:sz w:val="25"/>
            </w:rPr>
            <w:t>24</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"_Toc49412329" </w:instrText>
          </w:r>
          <w:r>
            <w:fldChar w:fldCharType="separate"/>
          </w:r>
          <w:r>
            <w:rPr>
              <w:rStyle w:val="16"/>
              <w:rFonts w:hint="eastAsia" w:ascii="仿宋" w:hAnsi="仿宋" w:eastAsia="仿宋"/>
              <w:b/>
              <w:sz w:val="25"/>
            </w:rPr>
            <w:t>（二）“三公”经费财政拨款支出决算具体情况说明</w:t>
          </w:r>
          <w:r>
            <w:rPr>
              <w:sz w:val="25"/>
            </w:rPr>
            <w:tab/>
          </w:r>
          <w:r>
            <w:rPr>
              <w:sz w:val="25"/>
            </w:rPr>
            <w:fldChar w:fldCharType="begin"/>
          </w:r>
          <w:r>
            <w:rPr>
              <w:sz w:val="25"/>
            </w:rPr>
            <w:instrText xml:space="preserve"> PAGEREF _Toc49412329 \h </w:instrText>
          </w:r>
          <w:r>
            <w:rPr>
              <w:sz w:val="25"/>
            </w:rPr>
            <w:fldChar w:fldCharType="separate"/>
          </w:r>
          <w:r>
            <w:rPr>
              <w:sz w:val="25"/>
            </w:rPr>
            <w:t>24</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"_Toc49412330" </w:instrText>
          </w:r>
          <w:r>
            <w:fldChar w:fldCharType="separate"/>
          </w:r>
          <w:r>
            <w:rPr>
              <w:rStyle w:val="16"/>
              <w:rFonts w:hint="eastAsia" w:ascii="黑体" w:eastAsia="黑体"/>
              <w:sz w:val="25"/>
            </w:rPr>
            <w:t>八、</w:t>
          </w:r>
          <w:r>
            <w:rPr>
              <w:rStyle w:val="16"/>
              <w:rFonts w:hint="eastAsia" w:ascii="黑体" w:hAnsi="黑体" w:eastAsia="黑体" w:cstheme="majorBidi"/>
              <w:bCs/>
              <w:sz w:val="25"/>
            </w:rPr>
            <w:t>政府性基金预算支出决算情况说明</w:t>
          </w:r>
          <w:r>
            <w:rPr>
              <w:sz w:val="25"/>
            </w:rPr>
            <w:tab/>
          </w:r>
          <w:r>
            <w:rPr>
              <w:sz w:val="25"/>
            </w:rPr>
            <w:fldChar w:fldCharType="begin"/>
          </w:r>
          <w:r>
            <w:rPr>
              <w:sz w:val="25"/>
            </w:rPr>
            <w:instrText xml:space="preserve"> PAGEREF _Toc49412330 \h </w:instrText>
          </w:r>
          <w:r>
            <w:rPr>
              <w:sz w:val="25"/>
            </w:rPr>
            <w:fldChar w:fldCharType="separate"/>
          </w:r>
          <w:r>
            <w:rPr>
              <w:sz w:val="25"/>
            </w:rPr>
            <w:t>25</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"_Toc49412331" </w:instrText>
          </w:r>
          <w:r>
            <w:fldChar w:fldCharType="separate"/>
          </w:r>
          <w:r>
            <w:rPr>
              <w:rStyle w:val="16"/>
              <w:rFonts w:hint="eastAsia" w:ascii="黑体" w:hAnsi="黑体" w:eastAsia="黑体" w:cstheme="majorBidi"/>
              <w:bCs/>
              <w:sz w:val="25"/>
            </w:rPr>
            <w:t>九、 国有资本经营预算支出决算情况说明</w:t>
          </w:r>
          <w:r>
            <w:rPr>
              <w:sz w:val="25"/>
            </w:rPr>
            <w:tab/>
          </w:r>
          <w:r>
            <w:rPr>
              <w:sz w:val="25"/>
            </w:rPr>
            <w:fldChar w:fldCharType="begin"/>
          </w:r>
          <w:r>
            <w:rPr>
              <w:sz w:val="25"/>
            </w:rPr>
            <w:instrText xml:space="preserve"> PAGEREF _Toc49412331 \h </w:instrText>
          </w:r>
          <w:r>
            <w:rPr>
              <w:sz w:val="25"/>
            </w:rPr>
            <w:fldChar w:fldCharType="separate"/>
          </w:r>
          <w:r>
            <w:rPr>
              <w:sz w:val="25"/>
            </w:rPr>
            <w:t>25</w:t>
          </w:r>
          <w:r>
            <w:rPr>
              <w:sz w:val="25"/>
            </w:rPr>
            <w:fldChar w:fldCharType="end"/>
          </w:r>
          <w:r>
            <w:rPr>
              <w:sz w:val="25"/>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"_Toc49412332" </w:instrText>
          </w:r>
          <w:r>
            <w:fldChar w:fldCharType="separate"/>
          </w:r>
          <w:r>
            <w:rPr>
              <w:rStyle w:val="16"/>
              <w:rFonts w:hint="eastAsia" w:ascii="黑体" w:hAnsi="黑体" w:eastAsia="黑体"/>
              <w:sz w:val="25"/>
            </w:rPr>
            <w:t>十</w:t>
          </w:r>
          <w:r>
            <w:rPr>
              <w:rStyle w:val="16"/>
              <w:rFonts w:hint="eastAsia" w:ascii="黑体" w:hAnsi="黑体" w:eastAsia="黑体" w:cstheme="majorBidi"/>
              <w:b/>
              <w:bCs/>
              <w:sz w:val="25"/>
            </w:rPr>
            <w:t>、</w:t>
          </w:r>
          <w:r>
            <w:rPr>
              <w:rStyle w:val="16"/>
              <w:rFonts w:hint="eastAsia" w:ascii="黑体" w:hAnsi="黑体" w:eastAsia="黑体" w:cstheme="majorBidi"/>
              <w:bCs/>
              <w:sz w:val="25"/>
            </w:rPr>
            <w:t>其他重要事项的情况说明</w:t>
          </w:r>
          <w:r>
            <w:rPr>
              <w:sz w:val="25"/>
            </w:rPr>
            <w:tab/>
          </w:r>
          <w:r>
            <w:rPr>
              <w:sz w:val="25"/>
            </w:rPr>
            <w:fldChar w:fldCharType="begin"/>
          </w:r>
          <w:r>
            <w:rPr>
              <w:sz w:val="25"/>
            </w:rPr>
            <w:instrText xml:space="preserve"> PAGEREF _Toc49412332 \h </w:instrText>
          </w:r>
          <w:r>
            <w:rPr>
              <w:sz w:val="25"/>
            </w:rPr>
            <w:fldChar w:fldCharType="separate"/>
          </w:r>
          <w:r>
            <w:rPr>
              <w:sz w:val="25"/>
            </w:rPr>
            <w:t>25</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"_Toc49412333" </w:instrText>
          </w:r>
          <w:r>
            <w:fldChar w:fldCharType="separate"/>
          </w:r>
          <w:r>
            <w:rPr>
              <w:rStyle w:val="16"/>
              <w:rFonts w:hint="eastAsia" w:ascii="仿宋" w:hAnsi="仿宋" w:eastAsia="仿宋"/>
              <w:b/>
              <w:sz w:val="25"/>
            </w:rPr>
            <w:t>（一）机关运行经费支出情况</w:t>
          </w:r>
          <w:r>
            <w:rPr>
              <w:sz w:val="25"/>
            </w:rPr>
            <w:tab/>
          </w:r>
          <w:r>
            <w:rPr>
              <w:sz w:val="25"/>
            </w:rPr>
            <w:fldChar w:fldCharType="begin"/>
          </w:r>
          <w:r>
            <w:rPr>
              <w:sz w:val="25"/>
            </w:rPr>
            <w:instrText xml:space="preserve"> PAGEREF _Toc49412333 \h </w:instrText>
          </w:r>
          <w:r>
            <w:rPr>
              <w:sz w:val="25"/>
            </w:rPr>
            <w:fldChar w:fldCharType="separate"/>
          </w:r>
          <w:r>
            <w:rPr>
              <w:sz w:val="25"/>
            </w:rPr>
            <w:t>26</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"_Toc49412334" </w:instrText>
          </w:r>
          <w:r>
            <w:fldChar w:fldCharType="separate"/>
          </w:r>
          <w:r>
            <w:rPr>
              <w:rStyle w:val="16"/>
              <w:rFonts w:hint="eastAsia" w:ascii="仿宋" w:hAnsi="仿宋" w:eastAsia="仿宋"/>
              <w:b/>
              <w:sz w:val="25"/>
            </w:rPr>
            <w:t>（二）政府采购支出情况</w:t>
          </w:r>
          <w:r>
            <w:rPr>
              <w:sz w:val="25"/>
            </w:rPr>
            <w:tab/>
          </w:r>
          <w:r>
            <w:rPr>
              <w:sz w:val="25"/>
            </w:rPr>
            <w:fldChar w:fldCharType="begin"/>
          </w:r>
          <w:r>
            <w:rPr>
              <w:sz w:val="25"/>
            </w:rPr>
            <w:instrText xml:space="preserve"> PAGEREF _Toc49412334 \h </w:instrText>
          </w:r>
          <w:r>
            <w:rPr>
              <w:sz w:val="25"/>
            </w:rPr>
            <w:fldChar w:fldCharType="separate"/>
          </w:r>
          <w:r>
            <w:rPr>
              <w:sz w:val="25"/>
            </w:rPr>
            <w:t>26</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"_Toc49412335" </w:instrText>
          </w:r>
          <w:r>
            <w:fldChar w:fldCharType="separate"/>
          </w:r>
          <w:r>
            <w:rPr>
              <w:rStyle w:val="16"/>
              <w:rFonts w:hint="eastAsia" w:ascii="仿宋" w:hAnsi="仿宋" w:eastAsia="仿宋"/>
              <w:b/>
              <w:sz w:val="25"/>
            </w:rPr>
            <w:t>（三）国有资产占有使用情况</w:t>
          </w:r>
          <w:r>
            <w:rPr>
              <w:sz w:val="25"/>
            </w:rPr>
            <w:tab/>
          </w:r>
          <w:r>
            <w:rPr>
              <w:sz w:val="25"/>
            </w:rPr>
            <w:fldChar w:fldCharType="begin"/>
          </w:r>
          <w:r>
            <w:rPr>
              <w:sz w:val="25"/>
            </w:rPr>
            <w:instrText xml:space="preserve"> PAGEREF _Toc49412335 \h </w:instrText>
          </w:r>
          <w:r>
            <w:rPr>
              <w:sz w:val="25"/>
            </w:rPr>
            <w:fldChar w:fldCharType="separate"/>
          </w:r>
          <w:r>
            <w:rPr>
              <w:sz w:val="25"/>
            </w:rPr>
            <w:t>26</w:t>
          </w:r>
          <w:r>
            <w:rPr>
              <w:sz w:val="25"/>
            </w:rPr>
            <w:fldChar w:fldCharType="end"/>
          </w:r>
          <w:r>
            <w:rPr>
              <w:sz w:val="25"/>
            </w:rPr>
            <w:fldChar w:fldCharType="end"/>
          </w:r>
        </w:p>
        <w:p>
          <w:pPr>
            <w:pStyle w:val="6"/>
            <w:rPr>
              <w:rFonts w:asciiTheme="minorHAnsi" w:hAnsiTheme="minorHAnsi" w:eastAsiaTheme="minorEastAsia" w:cstheme="minorBidi"/>
              <w:sz w:val="25"/>
              <w:szCs w:val="22"/>
            </w:rPr>
          </w:pPr>
          <w:r>
            <w:fldChar w:fldCharType="begin"/>
          </w:r>
          <w:r>
            <w:instrText xml:space="preserve"> HYPERLINK \l "_Toc49412336" </w:instrText>
          </w:r>
          <w:r>
            <w:fldChar w:fldCharType="separate"/>
          </w:r>
          <w:r>
            <w:rPr>
              <w:rStyle w:val="16"/>
              <w:rFonts w:hint="eastAsia" w:ascii="仿宋" w:hAnsi="仿宋" w:eastAsia="仿宋"/>
              <w:b/>
              <w:sz w:val="25"/>
            </w:rPr>
            <w:t>（四）预算绩效管理情况。</w:t>
          </w:r>
          <w:r>
            <w:rPr>
              <w:sz w:val="25"/>
            </w:rPr>
            <w:tab/>
          </w:r>
          <w:r>
            <w:rPr>
              <w:sz w:val="25"/>
            </w:rPr>
            <w:fldChar w:fldCharType="begin"/>
          </w:r>
          <w:r>
            <w:rPr>
              <w:sz w:val="25"/>
            </w:rPr>
            <w:instrText xml:space="preserve"> PAGEREF _Toc49412336 \h </w:instrText>
          </w:r>
          <w:r>
            <w:rPr>
              <w:sz w:val="25"/>
            </w:rPr>
            <w:fldChar w:fldCharType="separate"/>
          </w:r>
          <w:r>
            <w:rPr>
              <w:sz w:val="25"/>
            </w:rPr>
            <w:t>26</w:t>
          </w:r>
          <w:r>
            <w:rPr>
              <w:sz w:val="25"/>
            </w:rPr>
            <w:fldChar w:fldCharType="end"/>
          </w:r>
          <w:r>
            <w:rPr>
              <w:sz w:val="25"/>
            </w:rPr>
            <w:fldChar w:fldCharType="end"/>
          </w:r>
        </w:p>
        <w:p>
          <w:pPr>
            <w:pStyle w:val="10"/>
            <w:rPr>
              <w:rFonts w:asciiTheme="minorHAnsi" w:hAnsiTheme="minorHAnsi" w:eastAsiaTheme="minorEastAsia" w:cstheme="minorBidi"/>
              <w:sz w:val="25"/>
              <w:szCs w:val="22"/>
            </w:rPr>
          </w:pPr>
          <w:r>
            <w:fldChar w:fldCharType="begin"/>
          </w:r>
          <w:r>
            <w:instrText xml:space="preserve"> HYPERLINK \l "_Toc49412337" </w:instrText>
          </w:r>
          <w:r>
            <w:fldChar w:fldCharType="separate"/>
          </w:r>
          <w:r>
            <w:rPr>
              <w:rStyle w:val="16"/>
              <w:rFonts w:hint="eastAsia" w:ascii="黑体" w:hAnsi="黑体" w:eastAsia="黑体"/>
              <w:bCs/>
              <w:kern w:val="44"/>
              <w:sz w:val="32"/>
            </w:rPr>
            <w:t>第三部分</w:t>
          </w:r>
          <w:r>
            <w:rPr>
              <w:rStyle w:val="16"/>
              <w:rFonts w:hint="eastAsia" w:ascii="黑体" w:hAnsi="黑体" w:eastAsia="黑体"/>
              <w:sz w:val="32"/>
            </w:rPr>
            <w:t xml:space="preserve"> 名</w:t>
          </w:r>
          <w:r>
            <w:rPr>
              <w:rStyle w:val="16"/>
              <w:rFonts w:hint="eastAsia" w:ascii="黑体" w:hAnsi="黑体" w:eastAsia="黑体"/>
              <w:bCs/>
              <w:kern w:val="44"/>
              <w:sz w:val="32"/>
            </w:rPr>
            <w:t>词解释</w:t>
          </w:r>
          <w:r>
            <w:rPr>
              <w:sz w:val="32"/>
            </w:rPr>
            <w:tab/>
          </w:r>
          <w:r>
            <w:rPr>
              <w:sz w:val="32"/>
            </w:rPr>
            <w:fldChar w:fldCharType="begin"/>
          </w:r>
          <w:r>
            <w:rPr>
              <w:sz w:val="32"/>
            </w:rPr>
            <w:instrText xml:space="preserve"> PAGEREF _Toc49412337 \h </w:instrText>
          </w:r>
          <w:r>
            <w:rPr>
              <w:sz w:val="32"/>
            </w:rPr>
            <w:fldChar w:fldCharType="separate"/>
          </w:r>
          <w:r>
            <w:rPr>
              <w:sz w:val="32"/>
            </w:rPr>
            <w:t>37</w:t>
          </w:r>
          <w:r>
            <w:rPr>
              <w:sz w:val="32"/>
            </w:rPr>
            <w:fldChar w:fldCharType="end"/>
          </w:r>
          <w:r>
            <w:rPr>
              <w:sz w:val="32"/>
            </w:rPr>
            <w:fldChar w:fldCharType="end"/>
          </w:r>
        </w:p>
        <w:p>
          <w:pPr>
            <w:pStyle w:val="10"/>
            <w:rPr>
              <w:rFonts w:asciiTheme="minorHAnsi" w:hAnsiTheme="minorHAnsi" w:eastAsiaTheme="minorEastAsia" w:cstheme="minorBidi"/>
              <w:sz w:val="25"/>
              <w:szCs w:val="22"/>
            </w:rPr>
          </w:pPr>
          <w:r>
            <w:fldChar w:fldCharType="begin"/>
          </w:r>
          <w:r>
            <w:instrText xml:space="preserve"> HYPERLINK \l "_Toc49412338" </w:instrText>
          </w:r>
          <w:r>
            <w:fldChar w:fldCharType="separate"/>
          </w:r>
          <w:r>
            <w:rPr>
              <w:rStyle w:val="16"/>
              <w:rFonts w:hint="eastAsia" w:ascii="黑体" w:hAnsi="黑体" w:eastAsia="黑体"/>
              <w:sz w:val="32"/>
            </w:rPr>
            <w:t>第</w:t>
          </w:r>
          <w:r>
            <w:rPr>
              <w:rStyle w:val="16"/>
              <w:rFonts w:hint="eastAsia" w:ascii="黑体" w:hAnsi="黑体" w:eastAsia="黑体"/>
              <w:bCs/>
              <w:kern w:val="44"/>
              <w:sz w:val="32"/>
            </w:rPr>
            <w:t>四部分</w:t>
          </w:r>
          <w:r>
            <w:rPr>
              <w:rStyle w:val="16"/>
              <w:rFonts w:ascii="黑体" w:hAnsi="黑体" w:eastAsia="黑体"/>
              <w:bCs/>
              <w:kern w:val="44"/>
              <w:sz w:val="32"/>
            </w:rPr>
            <w:t xml:space="preserve"> </w:t>
          </w:r>
          <w:r>
            <w:rPr>
              <w:rStyle w:val="16"/>
              <w:rFonts w:hint="eastAsia" w:ascii="黑体" w:hAnsi="黑体" w:eastAsia="黑体"/>
              <w:bCs/>
              <w:kern w:val="44"/>
              <w:sz w:val="32"/>
            </w:rPr>
            <w:t>附件</w:t>
          </w:r>
          <w:r>
            <w:rPr>
              <w:sz w:val="32"/>
            </w:rPr>
            <w:tab/>
          </w:r>
          <w:r>
            <w:rPr>
              <w:sz w:val="32"/>
            </w:rPr>
            <w:fldChar w:fldCharType="begin"/>
          </w:r>
          <w:r>
            <w:rPr>
              <w:sz w:val="32"/>
            </w:rPr>
            <w:instrText xml:space="preserve"> PAGEREF _Toc49412338 \h </w:instrText>
          </w:r>
          <w:r>
            <w:rPr>
              <w:sz w:val="32"/>
            </w:rPr>
            <w:fldChar w:fldCharType="separate"/>
          </w:r>
          <w:r>
            <w:rPr>
              <w:sz w:val="32"/>
            </w:rPr>
            <w:t>41</w:t>
          </w:r>
          <w:r>
            <w:rPr>
              <w:sz w:val="32"/>
            </w:rPr>
            <w:fldChar w:fldCharType="end"/>
          </w:r>
          <w:r>
            <w:rPr>
              <w:sz w:val="32"/>
            </w:rPr>
            <w:fldChar w:fldCharType="end"/>
          </w:r>
        </w:p>
        <w:p>
          <w:pPr>
            <w:pStyle w:val="11"/>
            <w:rPr>
              <w:rFonts w:asciiTheme="minorHAnsi" w:hAnsiTheme="minorHAnsi" w:eastAsiaTheme="minorEastAsia" w:cstheme="minorBidi"/>
              <w:sz w:val="25"/>
              <w:szCs w:val="22"/>
            </w:rPr>
          </w:pPr>
          <w:r>
            <w:fldChar w:fldCharType="begin"/>
          </w:r>
          <w:r>
            <w:instrText xml:space="preserve"> HYPERLINK \l "_Toc49412339" </w:instrText>
          </w:r>
          <w:r>
            <w:fldChar w:fldCharType="separate"/>
          </w:r>
          <w:r>
            <w:rPr>
              <w:rStyle w:val="16"/>
              <w:rFonts w:hint="eastAsia" w:ascii="黑体" w:hAnsi="黑体" w:eastAsia="黑体" w:cs="黑体"/>
              <w:sz w:val="25"/>
            </w:rPr>
            <w:t>附件</w:t>
          </w:r>
          <w:r>
            <w:rPr>
              <w:rStyle w:val="16"/>
              <w:rFonts w:ascii="黑体" w:hAnsi="黑体" w:eastAsia="黑体" w:cs="黑体"/>
              <w:sz w:val="25"/>
            </w:rPr>
            <w:t>1</w:t>
          </w:r>
          <w:r>
            <w:rPr>
              <w:sz w:val="25"/>
            </w:rPr>
            <w:tab/>
          </w:r>
          <w:r>
            <w:rPr>
              <w:sz w:val="25"/>
            </w:rPr>
            <w:fldChar w:fldCharType="begin"/>
          </w:r>
          <w:r>
            <w:rPr>
              <w:sz w:val="25"/>
            </w:rPr>
            <w:instrText xml:space="preserve"> PAGEREF _Toc49412339 \h </w:instrText>
          </w:r>
          <w:r>
            <w:rPr>
              <w:sz w:val="25"/>
            </w:rPr>
            <w:fldChar w:fldCharType="separate"/>
          </w:r>
          <w:r>
            <w:rPr>
              <w:sz w:val="25"/>
            </w:rPr>
            <w:t>41</w:t>
          </w:r>
          <w:r>
            <w:rPr>
              <w:sz w:val="25"/>
            </w:rPr>
            <w:fldChar w:fldCharType="end"/>
          </w:r>
          <w:r>
            <w:rPr>
              <w:sz w:val="25"/>
            </w:rPr>
            <w:fldChar w:fldCharType="end"/>
          </w:r>
        </w:p>
        <w:p>
          <w:pPr>
            <w:pStyle w:val="10"/>
            <w:rPr>
              <w:rFonts w:asciiTheme="minorHAnsi" w:hAnsiTheme="minorHAnsi" w:eastAsiaTheme="minorEastAsia" w:cstheme="minorBidi"/>
              <w:sz w:val="21"/>
              <w:szCs w:val="22"/>
            </w:rPr>
          </w:pPr>
          <w:r>
            <w:fldChar w:fldCharType="begin"/>
          </w:r>
          <w:r>
            <w:instrText xml:space="preserve"> HYPERLINK \l "_Toc49412340" </w:instrText>
          </w:r>
          <w:r>
            <w:fldChar w:fldCharType="separate"/>
          </w:r>
          <w:r>
            <w:rPr>
              <w:rStyle w:val="16"/>
              <w:rFonts w:hint="eastAsia" w:ascii="黑体" w:hAnsi="黑体" w:eastAsia="黑体"/>
              <w:sz w:val="32"/>
            </w:rPr>
            <w:t>第</w:t>
          </w:r>
          <w:r>
            <w:rPr>
              <w:rStyle w:val="16"/>
              <w:rFonts w:hint="eastAsia" w:ascii="黑体" w:hAnsi="黑体" w:eastAsia="黑体"/>
              <w:bCs/>
              <w:kern w:val="44"/>
              <w:sz w:val="32"/>
            </w:rPr>
            <w:t>五部分</w:t>
          </w:r>
          <w:r>
            <w:rPr>
              <w:rStyle w:val="16"/>
              <w:rFonts w:ascii="黑体" w:hAnsi="黑体" w:eastAsia="黑体"/>
              <w:bCs/>
              <w:kern w:val="44"/>
              <w:sz w:val="32"/>
            </w:rPr>
            <w:t xml:space="preserve"> </w:t>
          </w:r>
          <w:r>
            <w:rPr>
              <w:rStyle w:val="16"/>
              <w:rFonts w:hint="eastAsia" w:ascii="黑体" w:hAnsi="黑体" w:eastAsia="黑体"/>
              <w:bCs/>
              <w:kern w:val="44"/>
              <w:sz w:val="32"/>
            </w:rPr>
            <w:t>附表</w:t>
          </w:r>
          <w:r>
            <w:rPr>
              <w:sz w:val="32"/>
            </w:rPr>
            <w:tab/>
          </w:r>
          <w:r>
            <w:rPr>
              <w:sz w:val="32"/>
            </w:rPr>
            <w:fldChar w:fldCharType="begin"/>
          </w:r>
          <w:r>
            <w:rPr>
              <w:sz w:val="32"/>
            </w:rPr>
            <w:instrText xml:space="preserve"> PAGEREF _Toc49412340 \h </w:instrText>
          </w:r>
          <w:r>
            <w:rPr>
              <w:sz w:val="32"/>
            </w:rPr>
            <w:fldChar w:fldCharType="separate"/>
          </w:r>
          <w:r>
            <w:rPr>
              <w:sz w:val="32"/>
            </w:rPr>
            <w:t>47</w:t>
          </w:r>
          <w:r>
            <w:rPr>
              <w:sz w:val="32"/>
            </w:rPr>
            <w:fldChar w:fldCharType="end"/>
          </w:r>
          <w:r>
            <w:rPr>
              <w:sz w:val="32"/>
            </w:rPr>
            <w:fldChar w:fldCharType="end"/>
          </w:r>
          <w:r>
            <w:rPr>
              <w:sz w:val="32"/>
            </w:rPr>
            <w:fldChar w:fldCharType="end"/>
          </w:r>
        </w:p>
      </w:sdtContent>
    </w:sdt>
    <w:p>
      <w:pPr>
        <w:widowControl/>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2"/>
        <w:spacing w:before="0" w:after="0" w:line="590" w:lineRule="exact"/>
        <w:jc w:val="center"/>
        <w:rPr>
          <w:rFonts w:ascii="方正黑体_GBK" w:eastAsia="方正黑体_GBK"/>
          <w:bCs w:val="0"/>
        </w:rPr>
      </w:pPr>
      <w:bookmarkStart w:id="14" w:name="_Toc49412312"/>
      <w:r>
        <w:rPr>
          <w:rFonts w:hint="eastAsia" w:ascii="方正黑体_GBK" w:eastAsia="方正黑体_GBK"/>
          <w:b w:val="0"/>
        </w:rPr>
        <w:t xml:space="preserve">第一部分 </w:t>
      </w:r>
      <w:r>
        <w:rPr>
          <w:rStyle w:val="25"/>
          <w:rFonts w:hint="eastAsia" w:ascii="方正黑体_GBK" w:eastAsia="方正黑体_GBK"/>
          <w:b w:val="0"/>
          <w:bCs w:val="0"/>
        </w:rPr>
        <w:t>部门概况</w:t>
      </w:r>
      <w:bookmarkEnd w:id="12"/>
      <w:bookmarkEnd w:id="13"/>
      <w:bookmarkEnd w:id="14"/>
    </w:p>
    <w:p>
      <w:pPr>
        <w:pStyle w:val="3"/>
        <w:spacing w:before="0" w:after="0" w:line="590" w:lineRule="exact"/>
        <w:rPr>
          <w:rStyle w:val="26"/>
          <w:rFonts w:ascii="方正楷体_GBK" w:hAnsi="Times New Roman" w:eastAsia="方正楷体_GBK" w:cs="Times New Roman"/>
          <w:b/>
          <w:bCs w:val="0"/>
          <w:sz w:val="33"/>
          <w:szCs w:val="33"/>
        </w:rPr>
      </w:pPr>
      <w:bookmarkStart w:id="15" w:name="_Toc15396600"/>
      <w:bookmarkStart w:id="16" w:name="_Toc49412313"/>
      <w:bookmarkStart w:id="17" w:name="_Toc15377197"/>
      <w:r>
        <w:rPr>
          <w:rFonts w:hint="eastAsia" w:ascii="方正楷体_GBK" w:hAnsi="Times New Roman" w:eastAsia="方正楷体_GBK" w:cs="Times New Roman"/>
          <w:b w:val="0"/>
          <w:color w:val="000000"/>
          <w:sz w:val="33"/>
          <w:szCs w:val="33"/>
        </w:rPr>
        <w:t>一、基</w:t>
      </w:r>
      <w:r>
        <w:rPr>
          <w:rStyle w:val="26"/>
          <w:rFonts w:hint="eastAsia" w:ascii="方正楷体_GBK" w:hAnsi="Times New Roman" w:eastAsia="方正楷体_GBK" w:cs="Times New Roman"/>
          <w:b/>
          <w:bCs w:val="0"/>
          <w:sz w:val="33"/>
          <w:szCs w:val="33"/>
        </w:rPr>
        <w:t>本职能及主要工作</w:t>
      </w:r>
      <w:bookmarkEnd w:id="15"/>
      <w:bookmarkEnd w:id="16"/>
      <w:bookmarkEnd w:id="17"/>
    </w:p>
    <w:p>
      <w:pPr>
        <w:pStyle w:val="5"/>
        <w:adjustRightInd w:val="0"/>
        <w:snapToGrid w:val="0"/>
        <w:spacing w:beforeLines="0" w:line="590" w:lineRule="exact"/>
        <w:ind w:firstLine="696" w:firstLineChars="210"/>
        <w:outlineLvl w:val="2"/>
        <w:rPr>
          <w:rFonts w:ascii="Times New Roman" w:eastAsia="方正仿宋_GBK"/>
          <w:b/>
          <w:bCs/>
          <w:color w:val="000000"/>
          <w:sz w:val="33"/>
          <w:szCs w:val="33"/>
        </w:rPr>
      </w:pPr>
      <w:bookmarkStart w:id="18" w:name="_Toc15378445"/>
      <w:bookmarkStart w:id="19" w:name="_Toc49412314"/>
      <w:bookmarkStart w:id="20" w:name="_Toc15377198"/>
      <w:r>
        <w:rPr>
          <w:rFonts w:ascii="Times New Roman" w:eastAsia="方正仿宋_GBK"/>
          <w:b/>
          <w:bCs/>
          <w:color w:val="000000"/>
          <w:sz w:val="33"/>
          <w:szCs w:val="33"/>
        </w:rPr>
        <w:t>（一）主要职能。</w:t>
      </w:r>
      <w:bookmarkEnd w:id="18"/>
      <w:bookmarkEnd w:id="19"/>
      <w:bookmarkEnd w:id="20"/>
    </w:p>
    <w:p>
      <w:pPr>
        <w:pStyle w:val="5"/>
        <w:spacing w:beforeLines="0" w:line="590" w:lineRule="exact"/>
        <w:ind w:firstLine="693" w:firstLineChars="210"/>
        <w:rPr>
          <w:rFonts w:ascii="Times New Roman" w:eastAsia="方正仿宋_GBK"/>
          <w:bCs/>
          <w:color w:val="000000"/>
          <w:sz w:val="33"/>
          <w:szCs w:val="33"/>
        </w:rPr>
      </w:pPr>
      <w:r>
        <w:rPr>
          <w:rFonts w:ascii="Times New Roman" w:eastAsia="方正仿宋_GBK"/>
          <w:bCs/>
          <w:color w:val="000000"/>
          <w:sz w:val="33"/>
          <w:szCs w:val="33"/>
        </w:rPr>
        <w:t>县人力资源社会保障局贯彻落实党中央关于人力资源、社会保障工作的方针政策和省委、市委、县委决策部署，在履行职责过程中坚持和加强党对人力资源、社会保障工作的集中统一领导。主要职责是：</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1.</w:t>
      </w:r>
      <w:r>
        <w:rPr>
          <w:rFonts w:ascii="Times New Roman" w:eastAsia="方正仿宋_GBK"/>
          <w:bCs/>
          <w:color w:val="000000"/>
          <w:sz w:val="33"/>
          <w:szCs w:val="33"/>
        </w:rPr>
        <w:t>贯彻执行人力资源和社会保障工作的相关法律、法规、方针和政策，拟订全县人力资源和社会保障事业发展政策、规划，起草相关规范性文件，并组织实施和监督检查。</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2.</w:t>
      </w:r>
      <w:r>
        <w:rPr>
          <w:rFonts w:ascii="Times New Roman" w:eastAsia="方正仿宋_GBK"/>
          <w:bCs/>
          <w:color w:val="000000"/>
          <w:sz w:val="33"/>
          <w:szCs w:val="33"/>
        </w:rPr>
        <w:t>拟订人力资源市场发展规划、人力资源服务业发展和人力资源流动政策并组织实施，促进人力资源合理流动、有效配置。</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3.</w:t>
      </w:r>
      <w:r>
        <w:rPr>
          <w:rFonts w:ascii="Times New Roman" w:eastAsia="方正仿宋_GBK"/>
          <w:bCs/>
          <w:color w:val="000000"/>
          <w:sz w:val="33"/>
          <w:szCs w:val="33"/>
        </w:rPr>
        <w:t>负责促进就业工作，拟订统筹城乡的就业发展规划和政策，完善公共就业创业服务体系，统筹建立面向城乡劳动者的职业技能培训制度，拟订并组织落实创业、就业援助制度，完善职业资格制度，牵头拟订高校毕业生就业政策。</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4.</w:t>
      </w:r>
      <w:r>
        <w:rPr>
          <w:rFonts w:ascii="Times New Roman" w:eastAsia="方正仿宋_GBK"/>
          <w:bCs/>
          <w:color w:val="000000"/>
          <w:sz w:val="33"/>
          <w:szCs w:val="33"/>
        </w:rPr>
        <w:t>统筹推进建立覆盖城乡的多层次社会保障体系。负责对全县养老、失业、工伤等社会保险及其补充保险政策和标准并组织实施。贯彻落实养老保险中央、省上、市上统筹办法和养老、失业、工伤保险关系转移办法。参与拟订养老、失业、工伤等社会保险及其补充保险基金管理和监督制度，编制相关社会保险基金预决算草案，参与拟订相关社会保障基金投资政策。会同有关部门实施全民参保计划并建立中央、省上、市上统一的社会保险公共服务平台。拟订人力资源和社会保障信息化建设总体规划、年度计划，制订相关制度、标准和规范并组织实施。指导、督促企业参加工伤保险。</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5.</w:t>
      </w:r>
      <w:r>
        <w:rPr>
          <w:rFonts w:ascii="Times New Roman" w:eastAsia="方正仿宋_GBK"/>
          <w:bCs/>
          <w:color w:val="000000"/>
          <w:sz w:val="33"/>
          <w:szCs w:val="33"/>
        </w:rPr>
        <w:t>负责就业、失业和相关社会保险基金预测预警和信息引导，拟订应对预案，实施预防、调节和控制，保持就业形势稳定和相关社会保险基金总体收支平衡。</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6.</w:t>
      </w:r>
      <w:r>
        <w:rPr>
          <w:rFonts w:ascii="Times New Roman" w:eastAsia="方正仿宋_GBK"/>
          <w:bCs/>
          <w:color w:val="000000"/>
          <w:sz w:val="33"/>
          <w:szCs w:val="33"/>
        </w:rPr>
        <w:t>统筹拟订劳动人事争议调解仲裁制度和劳动关系政策，完善劳动关系协商协调机制。组织落实国家、省、市制定的职工工作时间、休息休假和假期制度。拟订消除非法使用童工政策和女工、未成年工的特殊劳动保护政策。依法督促用人单位在劳动用工、合同签订与履约时，载明劳动保护、劳动条件和职业危害防护等条款。组织实施劳动监察，协调劳动者维权工作，依法查处重大案件。</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7.</w:t>
      </w:r>
      <w:r>
        <w:rPr>
          <w:rFonts w:ascii="Times New Roman" w:eastAsia="方正仿宋_GBK"/>
          <w:bCs/>
          <w:color w:val="000000"/>
          <w:sz w:val="33"/>
          <w:szCs w:val="33"/>
        </w:rPr>
        <w:t>牵头推进深化职称制度改革工作，拟订专业技术人员管理和继续教育政策并组织实施，负责高层次专业技术人才培养、选拔和推荐工作。拟订吸引留学人员来武胜（回武胜）工作或定居政策。组织拟订技能人才培养、评价、使用和激励制度。贯彻落实职业资格制度，健全职业技能多元化评价政策。指导、监督各级各类技工学校、民办职业培训机构按中省市有关规定履行安全管理责任。</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8.</w:t>
      </w:r>
      <w:r>
        <w:rPr>
          <w:rFonts w:ascii="Times New Roman" w:eastAsia="方正仿宋_GBK"/>
          <w:bCs/>
          <w:color w:val="000000"/>
          <w:sz w:val="33"/>
          <w:szCs w:val="33"/>
        </w:rPr>
        <w:t>会同有关部门指导事业单位人事制度改革，按照管理权限负责规范事业单位岗位设置、公开招聘、聘用合同等人事综合管理工作，拟订事业单位人员和机关工勤人员管理政策，将安全生产责任履行情况作为事业单位工作人员奖惩、考核的重要内容。</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9.</w:t>
      </w:r>
      <w:r>
        <w:rPr>
          <w:rFonts w:ascii="Times New Roman" w:eastAsia="方正仿宋_GBK"/>
          <w:bCs/>
          <w:color w:val="000000"/>
          <w:sz w:val="33"/>
          <w:szCs w:val="33"/>
        </w:rPr>
        <w:t>组织实施国家、省、市表彰奖励制度；综合管理县政府奖励工作，承担评比达标表彰奖励活动，根据授权承办以县委、县政府名义开展的表扬奖励活动。</w:t>
      </w:r>
    </w:p>
    <w:p>
      <w:pPr>
        <w:pStyle w:val="5"/>
        <w:spacing w:beforeLines="0" w:line="590" w:lineRule="exact"/>
        <w:ind w:firstLine="693" w:firstLineChars="210"/>
        <w:rPr>
          <w:rFonts w:ascii="Times New Roman" w:eastAsia="方正仿宋_GBK"/>
          <w:bCs/>
          <w:color w:val="000000"/>
          <w:sz w:val="33"/>
          <w:szCs w:val="33"/>
        </w:rPr>
      </w:pPr>
      <w:r>
        <w:rPr>
          <w:rFonts w:hint="eastAsia" w:ascii="Times New Roman" w:eastAsia="方正仿宋_GBK"/>
          <w:bCs/>
          <w:color w:val="000000"/>
          <w:sz w:val="33"/>
          <w:szCs w:val="33"/>
        </w:rPr>
        <w:t>10.</w:t>
      </w:r>
      <w:r>
        <w:rPr>
          <w:rFonts w:ascii="Times New Roman" w:eastAsia="方正仿宋_GBK"/>
          <w:bCs/>
          <w:color w:val="000000"/>
          <w:sz w:val="33"/>
          <w:szCs w:val="33"/>
        </w:rPr>
        <w:t>会同有关部门拟订事业单位人员工资收入分配政策和企业职工工资收入分配调控政策，建立企事业单位人员工资决定、正常增长和支付保障机制，拟订企事业单位人员福利和离退休政策。</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11.</w:t>
      </w:r>
      <w:r>
        <w:rPr>
          <w:rFonts w:eastAsia="方正仿宋_GBK"/>
          <w:bCs/>
          <w:color w:val="000000"/>
          <w:sz w:val="33"/>
          <w:szCs w:val="33"/>
        </w:rPr>
        <w:t>会同有关部门拟定劳务开发及农民工工作综合性政策和规划，推动相关政策落实，协调解决重点难点问题，维护农民工合法权益。负责将安全生产纳入农民工技能培训内容。</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12.</w:t>
      </w:r>
      <w:r>
        <w:rPr>
          <w:rFonts w:eastAsia="方正仿宋_GBK"/>
          <w:bCs/>
          <w:color w:val="000000"/>
          <w:sz w:val="33"/>
          <w:szCs w:val="33"/>
        </w:rPr>
        <w:t>负责人力资源和社会保障领域的对外交流与合作。</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13.</w:t>
      </w:r>
      <w:r>
        <w:rPr>
          <w:rFonts w:eastAsia="方正仿宋_GBK"/>
          <w:bCs/>
          <w:color w:val="000000"/>
          <w:sz w:val="33"/>
          <w:szCs w:val="33"/>
        </w:rPr>
        <w:t>承担县职称改革工作领导小组办公室、县劳务开发暨农民工工作领导小组的具体工作。</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14.</w:t>
      </w:r>
      <w:r>
        <w:rPr>
          <w:rFonts w:eastAsia="方正仿宋_GBK"/>
          <w:bCs/>
          <w:color w:val="000000"/>
          <w:sz w:val="33"/>
          <w:szCs w:val="33"/>
        </w:rPr>
        <w:t>承担职责范围内的安全生产和职业健康、生态环境保护、审批服务便民化等工作。</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15.</w:t>
      </w:r>
      <w:r>
        <w:rPr>
          <w:rFonts w:eastAsia="方正仿宋_GBK"/>
          <w:bCs/>
          <w:color w:val="000000"/>
          <w:sz w:val="33"/>
          <w:szCs w:val="33"/>
        </w:rPr>
        <w:t>承担市人力资源社会保障局新增的对应职责。</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16.</w:t>
      </w:r>
      <w:r>
        <w:rPr>
          <w:rFonts w:eastAsia="方正仿宋_GBK"/>
          <w:bCs/>
          <w:color w:val="000000"/>
          <w:sz w:val="33"/>
          <w:szCs w:val="33"/>
        </w:rPr>
        <w:t>完成县委和县政府交办的其他任务。</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17.</w:t>
      </w:r>
      <w:r>
        <w:rPr>
          <w:rFonts w:eastAsia="方正仿宋_GBK"/>
          <w:bCs/>
          <w:color w:val="000000"/>
          <w:sz w:val="33"/>
          <w:szCs w:val="33"/>
        </w:rPr>
        <w:t>职能转变。深入推进简政放权、放管结合、优化服务改革，进一步减少行政审批事项，规范和优化对外办理事项，减少职业资格许可和认定等审批事项，实行职业资格目录清单管理，加强事中事后监管，创新就业和社会保障等公共服务方式，加强信息共享，提高公共服务水平。</w:t>
      </w:r>
    </w:p>
    <w:p>
      <w:pPr>
        <w:spacing w:line="590" w:lineRule="exact"/>
        <w:ind w:firstLine="660" w:firstLineChars="200"/>
        <w:rPr>
          <w:rFonts w:eastAsia="方正仿宋_GBK"/>
          <w:bCs/>
          <w:color w:val="000000"/>
          <w:sz w:val="33"/>
          <w:szCs w:val="33"/>
        </w:rPr>
      </w:pPr>
      <w:r>
        <w:rPr>
          <w:rFonts w:hint="eastAsia" w:eastAsia="方正仿宋_GBK"/>
          <w:bCs/>
          <w:color w:val="000000"/>
          <w:sz w:val="33"/>
          <w:szCs w:val="33"/>
        </w:rPr>
        <w:t>18.</w:t>
      </w:r>
      <w:r>
        <w:rPr>
          <w:rFonts w:eastAsia="方正仿宋_GBK"/>
          <w:bCs/>
          <w:color w:val="000000"/>
          <w:sz w:val="33"/>
          <w:szCs w:val="33"/>
        </w:rPr>
        <w:t>有关职责分工。与县教育科技和体育局的职责分工。高校毕业生就业政策由县人力资源社会保障局牵头，会同县教育科技和体育局等部门拟订。高校毕业生离校前的就业指导和服务工作，由县教育科技和体育局负责；高校毕业生离校后的就业指导和服务工作，由县人力资源社会保障局负责。</w:t>
      </w:r>
    </w:p>
    <w:p>
      <w:pPr>
        <w:pStyle w:val="5"/>
        <w:adjustRightInd w:val="0"/>
        <w:snapToGrid w:val="0"/>
        <w:spacing w:beforeLines="0" w:line="590" w:lineRule="exact"/>
        <w:ind w:firstLine="696" w:firstLineChars="210"/>
        <w:outlineLvl w:val="2"/>
        <w:rPr>
          <w:rFonts w:ascii="Times New Roman" w:eastAsia="方正仿宋_GBK"/>
          <w:b/>
          <w:bCs/>
          <w:color w:val="000000"/>
          <w:sz w:val="33"/>
          <w:szCs w:val="33"/>
        </w:rPr>
      </w:pPr>
      <w:bookmarkStart w:id="21" w:name="_Toc15377199"/>
      <w:bookmarkStart w:id="22" w:name="_Toc15378446"/>
      <w:bookmarkStart w:id="23" w:name="_Toc49412315"/>
      <w:r>
        <w:rPr>
          <w:rFonts w:ascii="Times New Roman" w:eastAsia="方正仿宋_GBK"/>
          <w:b/>
          <w:bCs/>
          <w:color w:val="000000"/>
          <w:sz w:val="33"/>
          <w:szCs w:val="33"/>
        </w:rPr>
        <w:t>（二）</w:t>
      </w:r>
      <w:r>
        <w:rPr>
          <w:rFonts w:hint="eastAsia" w:ascii="Times New Roman" w:eastAsia="方正仿宋_GBK"/>
          <w:b/>
          <w:bCs/>
          <w:color w:val="000000"/>
          <w:sz w:val="33"/>
          <w:szCs w:val="33"/>
          <w:lang w:val="en-US" w:eastAsia="zh-CN"/>
        </w:rPr>
        <w:t>2020</w:t>
      </w:r>
      <w:r>
        <w:rPr>
          <w:rFonts w:ascii="Times New Roman" w:eastAsia="方正仿宋_GBK"/>
          <w:b/>
          <w:bCs/>
          <w:color w:val="000000"/>
          <w:sz w:val="33"/>
          <w:szCs w:val="33"/>
        </w:rPr>
        <w:t>年重点工作完成情况。</w:t>
      </w:r>
      <w:bookmarkEnd w:id="21"/>
      <w:bookmarkEnd w:id="22"/>
      <w:bookmarkEnd w:id="23"/>
    </w:p>
    <w:p>
      <w:pPr>
        <w:spacing w:line="590" w:lineRule="exact"/>
        <w:ind w:firstLine="660" w:firstLineChars="200"/>
        <w:rPr>
          <w:rFonts w:ascii="Times New Roman" w:hAnsi="Times New Roman" w:eastAsia="方正仿宋_GBK"/>
          <w:sz w:val="33"/>
          <w:szCs w:val="33"/>
        </w:rPr>
      </w:pPr>
      <w:bookmarkStart w:id="24" w:name="_Toc15377200"/>
      <w:bookmarkStart w:id="25" w:name="_Toc15396601"/>
      <w:bookmarkStart w:id="26" w:name="_Toc49412316"/>
      <w:r>
        <w:rPr>
          <w:rFonts w:ascii="Times New Roman" w:hAnsi="Times New Roman" w:eastAsia="方正仿宋_GBK"/>
          <w:sz w:val="33"/>
          <w:szCs w:val="33"/>
        </w:rPr>
        <w:t>2020年以来，县人社局紧扣职能职责，围绕县域经济发展，主动作为，开拓进取，全力抓好就业创业、社会保障、人事人才、劳动关系、脱贫攻坚等重点工作，全县人力资源社会保障事业持续健康良性发展。</w:t>
      </w:r>
    </w:p>
    <w:p>
      <w:pPr>
        <w:spacing w:line="590" w:lineRule="exact"/>
        <w:ind w:firstLine="663" w:firstLineChars="200"/>
        <w:rPr>
          <w:rFonts w:hint="eastAsia" w:ascii="方正楷体_GBK" w:hAnsi="Times New Roman" w:eastAsia="方正楷体_GBK"/>
          <w:b/>
          <w:sz w:val="33"/>
          <w:szCs w:val="33"/>
        </w:rPr>
      </w:pPr>
      <w:r>
        <w:rPr>
          <w:rFonts w:hint="eastAsia" w:ascii="方正楷体_GBK" w:hAnsi="Times New Roman" w:eastAsia="方正楷体_GBK"/>
          <w:b/>
          <w:sz w:val="33"/>
          <w:szCs w:val="33"/>
        </w:rPr>
        <w:t>（一）争取支持，主动作为，改善事业发展“硬环境”</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1.持续抓好向上争取。</w:t>
      </w:r>
      <w:r>
        <w:rPr>
          <w:rFonts w:ascii="Times New Roman" w:hAnsi="Times New Roman" w:eastAsia="方正仿宋_GBK"/>
          <w:sz w:val="33"/>
          <w:szCs w:val="33"/>
        </w:rPr>
        <w:t>加强上级补助资金争取，把牢“有什么、争什么、怎么争”三个关键环节，认真研究国家政策投向，加强与上级衔接汇报，争取政策资金向我县倾斜。对政策资金，明确专人负责，按照时间节点，加大跟踪力度，提高资金使用的针对性和有效性。全年向上争取目标1.42亿元，争取到位资金预计1.87亿元，完成率132%。</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2.切实推进居民增收。</w:t>
      </w:r>
      <w:r>
        <w:rPr>
          <w:rFonts w:ascii="Times New Roman" w:hAnsi="Times New Roman" w:eastAsia="方正仿宋_GBK"/>
          <w:sz w:val="33"/>
          <w:szCs w:val="33"/>
        </w:rPr>
        <w:t>落实各项惠民富民政策，提高城镇居民就业率，鼓励城镇居民自主创业，拓宽增收渠道。认真对照全年经济增长预期目标，认真分析增收情况，加强与调查队和各调查乡镇协作配合，找准差距、增添措施、补齐短板。强化对记账户入户指导和业务培训，夯实工作基础，抓实居民收入、消费增长面等指标。2020年预计城镇居民人均可支配收入38349元，同比增长6%。</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3.不断深化区域合作。</w:t>
      </w:r>
      <w:r>
        <w:rPr>
          <w:rFonts w:ascii="Times New Roman" w:hAnsi="Times New Roman" w:eastAsia="方正仿宋_GBK"/>
          <w:sz w:val="33"/>
          <w:szCs w:val="33"/>
        </w:rPr>
        <w:t>以成渝地区双城经济圈建设为契机，在就业招聘、人才交流、劳动保障等方面广泛开展合作交流，构建人社事业发展新格局。</w:t>
      </w:r>
      <w:r>
        <w:rPr>
          <w:rFonts w:ascii="Times New Roman" w:hAnsi="Times New Roman" w:eastAsia="方正仿宋_GBK"/>
          <w:b/>
          <w:sz w:val="33"/>
          <w:szCs w:val="33"/>
        </w:rPr>
        <w:t>推进人力资源服务协作。</w:t>
      </w:r>
      <w:r>
        <w:rPr>
          <w:rFonts w:ascii="Times New Roman" w:hAnsi="Times New Roman" w:eastAsia="方正仿宋_GBK"/>
          <w:sz w:val="33"/>
          <w:szCs w:val="33"/>
        </w:rPr>
        <w:t>建立完善流动人员人事档案服务管理机制，接收重庆转入档案529册，提供职称评审服务7人次。积极开展人事考试考官（评委）互派， 5人赴潼南区担任“三支一扶”面试考官，聘请合川区、铜梁区130人担任事业单位公招面试评委。</w:t>
      </w:r>
      <w:r>
        <w:rPr>
          <w:rFonts w:ascii="Times New Roman" w:hAnsi="Times New Roman" w:eastAsia="方正仿宋_GBK"/>
          <w:b/>
          <w:sz w:val="33"/>
          <w:szCs w:val="33"/>
        </w:rPr>
        <w:t>深化就业服务共享协作。</w:t>
      </w:r>
      <w:r>
        <w:rPr>
          <w:rFonts w:ascii="Times New Roman" w:hAnsi="Times New Roman" w:eastAsia="方正仿宋_GBK"/>
          <w:sz w:val="33"/>
          <w:szCs w:val="33"/>
        </w:rPr>
        <w:t>探索建立就业服务共享机制，推动招聘求职信息共享。为县内独资及合资重庆籍企业发布用工信息800余条，组织县内企业参加重庆市长寿区“2020金秋送岗专场招聘会”和川渝人社部门联合举办的“2020年金秋招聘进校园专场招聘会”，提供岗位60余个，达成就业意向25人。</w:t>
      </w:r>
      <w:r>
        <w:rPr>
          <w:rFonts w:ascii="Times New Roman" w:hAnsi="Times New Roman" w:eastAsia="方正仿宋_GBK"/>
          <w:b/>
          <w:sz w:val="33"/>
          <w:szCs w:val="33"/>
        </w:rPr>
        <w:t>构建区域和谐劳动关系。</w:t>
      </w:r>
      <w:r>
        <w:rPr>
          <w:rFonts w:ascii="Times New Roman" w:hAnsi="Times New Roman" w:eastAsia="方正仿宋_GBK"/>
          <w:sz w:val="33"/>
          <w:szCs w:val="33"/>
        </w:rPr>
        <w:t>探索建立跨区域协查、案件信息共享等劳动保障监察合作机制，积极做好劳动仲裁案件异地调查取证。先后2次赴合川区开展根治欠薪工作经验交流，为22名合川籍劳动者协调追回欠薪10万元。受理重庆区域劳动仲裁案件26件，其中调解结案18件。</w:t>
      </w:r>
      <w:r>
        <w:rPr>
          <w:rFonts w:ascii="Times New Roman" w:hAnsi="Times New Roman" w:eastAsia="方正仿宋_GBK"/>
          <w:b/>
          <w:sz w:val="33"/>
          <w:szCs w:val="33"/>
        </w:rPr>
        <w:t>推进社会保险服务协同。</w:t>
      </w:r>
      <w:r>
        <w:rPr>
          <w:rFonts w:ascii="Times New Roman" w:hAnsi="Times New Roman" w:eastAsia="方正仿宋_GBK"/>
          <w:sz w:val="33"/>
          <w:szCs w:val="33"/>
        </w:rPr>
        <w:t>继续深化养老保险关系无障碍转移接续，常态做好社保待遇领取资格协同核查认证工作。与重庆实现养老保险转移180人（转出49人、转入131人），转移金额579.4万元；开展待遇领取协查认证约9000人次。</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4.全面落实依法行政。严格行政审批。</w:t>
      </w:r>
      <w:r>
        <w:rPr>
          <w:rFonts w:ascii="Times New Roman" w:hAnsi="Times New Roman" w:eastAsia="方正仿宋_GBK"/>
          <w:sz w:val="33"/>
          <w:szCs w:val="33"/>
        </w:rPr>
        <w:t>全面落实4项行政许可项目，办理经营劳务派遣业务许可1件、民办职业培训学校审批2件、特殊工时制度审批5件；审核办理企业职工退休430人。</w:t>
      </w:r>
      <w:r>
        <w:rPr>
          <w:rFonts w:ascii="Times New Roman" w:hAnsi="Times New Roman" w:eastAsia="方正仿宋_GBK"/>
          <w:b/>
          <w:sz w:val="33"/>
          <w:szCs w:val="33"/>
        </w:rPr>
        <w:t>推进依法治县。</w:t>
      </w:r>
      <w:r>
        <w:rPr>
          <w:rFonts w:ascii="Times New Roman" w:hAnsi="Times New Roman" w:eastAsia="方正仿宋_GBK"/>
          <w:sz w:val="33"/>
          <w:szCs w:val="33"/>
        </w:rPr>
        <w:t>积极开展“法律十进”活动，深入机关、学校、社区等开展人社政策、法律法规宣传15次；领导班子会前学法12次；组织开展人社系统法律知识竞赛活动荣获全市第二名。</w:t>
      </w:r>
      <w:r>
        <w:rPr>
          <w:rFonts w:ascii="Times New Roman" w:hAnsi="Times New Roman" w:eastAsia="方正仿宋_GBK"/>
          <w:b/>
          <w:sz w:val="33"/>
          <w:szCs w:val="33"/>
        </w:rPr>
        <w:t>优化政务服务。</w:t>
      </w:r>
      <w:r>
        <w:rPr>
          <w:rFonts w:ascii="Times New Roman" w:hAnsi="Times New Roman" w:eastAsia="方正仿宋_GBK"/>
          <w:sz w:val="33"/>
          <w:szCs w:val="33"/>
        </w:rPr>
        <w:t>继续推进“最多跑一次”改革，6项行政权力（行政许可4项、行政确认1项、其他行政权力1项）和120项公共服务事项均实现了“网上办”和“一次办”，群众满意度不断提升。持续强化社保卡办理，全县办卡人数78.29万人，持卡率达96%以上。</w:t>
      </w:r>
    </w:p>
    <w:p>
      <w:pPr>
        <w:spacing w:line="590" w:lineRule="exact"/>
        <w:ind w:firstLine="663" w:firstLineChars="200"/>
        <w:rPr>
          <w:rFonts w:hint="eastAsia" w:ascii="方正楷体_GBK" w:hAnsi="Times New Roman" w:eastAsia="方正楷体_GBK"/>
          <w:b/>
          <w:sz w:val="33"/>
          <w:szCs w:val="33"/>
        </w:rPr>
      </w:pPr>
      <w:r>
        <w:rPr>
          <w:rFonts w:hint="eastAsia" w:ascii="方正楷体_GBK" w:hAnsi="Times New Roman" w:eastAsia="方正楷体_GBK"/>
          <w:b/>
          <w:sz w:val="33"/>
          <w:szCs w:val="33"/>
        </w:rPr>
        <w:t>（二）重视基层，延伸触角，争当社会安定“稳压器”</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1.“实”字着力，全力推进脱贫攻坚。就业扶贫持续巩固。</w:t>
      </w:r>
      <w:r>
        <w:rPr>
          <w:rFonts w:ascii="Times New Roman" w:hAnsi="Times New Roman" w:eastAsia="方正仿宋_GBK"/>
          <w:sz w:val="33"/>
          <w:szCs w:val="33"/>
        </w:rPr>
        <w:t>举办就业扶贫专场招聘会10场，发放宣传资料5000余份</w:t>
      </w:r>
      <w:r>
        <w:rPr>
          <w:rFonts w:hint="eastAsia" w:ascii="Times New Roman" w:hAnsi="Times New Roman" w:eastAsia="方正仿宋_GBK"/>
          <w:sz w:val="33"/>
          <w:szCs w:val="33"/>
        </w:rPr>
        <w:t>；</w:t>
      </w:r>
      <w:r>
        <w:rPr>
          <w:rFonts w:ascii="Times New Roman" w:hAnsi="Times New Roman" w:eastAsia="方正仿宋_GBK"/>
          <w:sz w:val="33"/>
          <w:szCs w:val="33"/>
        </w:rPr>
        <w:t>安置贫困家庭劳动力和就业困难人员3394人次</w:t>
      </w:r>
      <w:r>
        <w:rPr>
          <w:rFonts w:hint="eastAsia" w:ascii="Times New Roman" w:hAnsi="Times New Roman" w:eastAsia="方正仿宋_GBK"/>
          <w:sz w:val="33"/>
          <w:szCs w:val="33"/>
        </w:rPr>
        <w:t>，</w:t>
      </w:r>
      <w:r>
        <w:rPr>
          <w:rFonts w:ascii="Times New Roman" w:hAnsi="Times New Roman" w:eastAsia="方正仿宋_GBK"/>
          <w:sz w:val="33"/>
          <w:szCs w:val="33"/>
        </w:rPr>
        <w:t>累计转移</w:t>
      </w:r>
      <w:r>
        <w:rPr>
          <w:rFonts w:hint="eastAsia" w:ascii="Times New Roman" w:hAnsi="Times New Roman" w:eastAsia="方正仿宋_GBK"/>
          <w:sz w:val="33"/>
          <w:szCs w:val="33"/>
        </w:rPr>
        <w:t>输出</w:t>
      </w:r>
      <w:r>
        <w:rPr>
          <w:rFonts w:ascii="Times New Roman" w:hAnsi="Times New Roman" w:eastAsia="方正仿宋_GBK"/>
          <w:sz w:val="33"/>
          <w:szCs w:val="33"/>
        </w:rPr>
        <w:t>贫困家庭劳动力6万人次；新建10个扶贫基地（车间），吸纳贫困劳动力80余人；开展贫困家庭劳动力扶贫培训894人次。</w:t>
      </w:r>
      <w:r>
        <w:rPr>
          <w:rFonts w:ascii="Times New Roman" w:hAnsi="Times New Roman" w:eastAsia="方正仿宋_GBK"/>
          <w:b/>
          <w:sz w:val="33"/>
          <w:szCs w:val="33"/>
        </w:rPr>
        <w:t>社保扶贫兜牢底线。</w:t>
      </w:r>
      <w:r>
        <w:rPr>
          <w:rFonts w:ascii="Times New Roman" w:hAnsi="Times New Roman" w:eastAsia="方正仿宋_GBK"/>
          <w:sz w:val="33"/>
          <w:szCs w:val="33"/>
        </w:rPr>
        <w:t>按政策将符合条件的建档立卡贫困人口、低保对象、特困人员全部纳入城乡居民养老保险，做好代缴养老保险和待遇落实工作。完成代缴2.35万人，完成率100%，代缴参保费235.42万元。</w:t>
      </w:r>
      <w:r>
        <w:rPr>
          <w:rFonts w:ascii="Times New Roman" w:hAnsi="Times New Roman" w:eastAsia="方正仿宋_GBK"/>
          <w:b/>
          <w:sz w:val="33"/>
          <w:szCs w:val="33"/>
        </w:rPr>
        <w:t>结对帮扶扎实推进。</w:t>
      </w:r>
      <w:r>
        <w:rPr>
          <w:rFonts w:ascii="Times New Roman" w:hAnsi="Times New Roman" w:eastAsia="方正仿宋_GBK"/>
          <w:sz w:val="33"/>
          <w:szCs w:val="33"/>
        </w:rPr>
        <w:t>精准选派70余名帮扶人员参加猛山乡、鼓匠乡9个村的“包村”“包户”工作，37人与126户贫困户结成对子，实现帮扶全覆盖；压紧压实工作责任，推动贫困人口“两不愁、三保障”全面达标。</w:t>
      </w:r>
      <w:r>
        <w:rPr>
          <w:rFonts w:ascii="Times New Roman" w:hAnsi="Times New Roman" w:eastAsia="方正仿宋_GBK"/>
          <w:b/>
          <w:sz w:val="33"/>
          <w:szCs w:val="33"/>
        </w:rPr>
        <w:t>驻村帮扶凸显成效。</w:t>
      </w:r>
      <w:r>
        <w:rPr>
          <w:rFonts w:ascii="Times New Roman" w:hAnsi="Times New Roman" w:eastAsia="方正仿宋_GBK"/>
          <w:sz w:val="33"/>
          <w:szCs w:val="33"/>
        </w:rPr>
        <w:t>选派2名干部参与猛山乡皂桷村驻村帮扶工作，助力贫困村脱贫。协助乡镇、村委完成公路硬化累计13.92公里，安装太阳能高杆路灯50盏，引进业主流转土地350亩发展蚕桑产业，开发村级公益性岗位10个</w:t>
      </w:r>
      <w:r>
        <w:rPr>
          <w:rFonts w:hint="eastAsia" w:ascii="Times New Roman" w:hAnsi="Times New Roman" w:eastAsia="方正仿宋_GBK"/>
          <w:sz w:val="33"/>
          <w:szCs w:val="33"/>
        </w:rPr>
        <w:t>，</w:t>
      </w:r>
      <w:r>
        <w:rPr>
          <w:rFonts w:ascii="Times New Roman" w:hAnsi="Times New Roman" w:eastAsia="方正仿宋_GBK"/>
          <w:sz w:val="33"/>
          <w:szCs w:val="33"/>
        </w:rPr>
        <w:t>开展技能培训260人次，群众生产生活条件得到明显改善。</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2.“严”字当头，全力夯实根治欠薪。组织领导双担责。</w:t>
      </w:r>
      <w:r>
        <w:rPr>
          <w:rFonts w:ascii="Times New Roman" w:hAnsi="Times New Roman" w:eastAsia="方正仿宋_GBK"/>
          <w:sz w:val="33"/>
          <w:szCs w:val="33"/>
        </w:rPr>
        <w:t>印发《武胜县2020年保障农民工工资支付工作要点》，落实以县政府总体牵头，乡镇、园区、主管部门监管协调责任，将保障农民工工资支付工作落地落实。召开全县根治欠薪专题会议2次、组织主管部门开展业务推进会1次。</w:t>
      </w:r>
      <w:r>
        <w:rPr>
          <w:rFonts w:ascii="Times New Roman" w:hAnsi="Times New Roman" w:eastAsia="方正仿宋_GBK"/>
          <w:b/>
          <w:sz w:val="33"/>
          <w:szCs w:val="33"/>
        </w:rPr>
        <w:t>预防法治两结合。</w:t>
      </w:r>
      <w:r>
        <w:rPr>
          <w:rFonts w:ascii="Times New Roman" w:hAnsi="Times New Roman" w:eastAsia="方正仿宋_GBK"/>
          <w:sz w:val="33"/>
          <w:szCs w:val="33"/>
        </w:rPr>
        <w:t>围绕合同签订、工资支付等重点内容，开展“双随机一公开”“保障工资支付专项检查”等活动。联合司法、工会等部门通过上街头、下乡镇、到企业、进工地等方式，发放宣传明白纸等宣传资料2100余份，开展专题讲解25次。</w:t>
      </w:r>
      <w:r>
        <w:rPr>
          <w:rFonts w:ascii="Times New Roman" w:hAnsi="Times New Roman" w:eastAsia="方正仿宋_GBK"/>
          <w:b/>
          <w:sz w:val="33"/>
          <w:szCs w:val="33"/>
        </w:rPr>
        <w:t>联处联动破局限。</w:t>
      </w:r>
      <w:r>
        <w:rPr>
          <w:rFonts w:ascii="Times New Roman" w:hAnsi="Times New Roman" w:eastAsia="方正仿宋_GBK"/>
          <w:sz w:val="33"/>
          <w:szCs w:val="33"/>
        </w:rPr>
        <w:t>依托县根治办，联合住建、水务、交运等单位，大力开展根治欠薪“春季行动”“夏季行动”“冬季专项行动”等，破解根治欠薪难题。全年受理举报投诉案件82件（其中立案查处5件、协调化解76件），向公安机关移送涉嫌拒不支付劳动报酬罪1件，累计追发1120名劳动者工资1900万元。劳动合同签订率94.5%、劳动保障监察举报投诉案件结案率100%、拖欠农民工工资举报投诉案结案率99%，均圆满完成目标任务。</w:t>
      </w:r>
    </w:p>
    <w:p>
      <w:pPr>
        <w:spacing w:line="590" w:lineRule="exact"/>
        <w:ind w:firstLine="663" w:firstLineChars="200"/>
        <w:rPr>
          <w:rFonts w:hint="eastAsia" w:ascii="Times New Roman" w:hAnsi="Times New Roman" w:eastAsia="方正仿宋_GBK"/>
          <w:sz w:val="33"/>
          <w:szCs w:val="33"/>
        </w:rPr>
      </w:pPr>
      <w:r>
        <w:rPr>
          <w:rFonts w:ascii="Times New Roman" w:hAnsi="Times New Roman" w:eastAsia="方正仿宋_GBK"/>
          <w:b/>
          <w:sz w:val="33"/>
          <w:szCs w:val="33"/>
        </w:rPr>
        <w:t>3.“快”字为要，全力提升仲裁能力。调审结合，快调快办。</w:t>
      </w:r>
      <w:r>
        <w:rPr>
          <w:rFonts w:ascii="Times New Roman" w:hAnsi="Times New Roman" w:eastAsia="方正仿宋_GBK"/>
          <w:sz w:val="33"/>
          <w:szCs w:val="33"/>
        </w:rPr>
        <w:t>严格落实简易处理规定，按规定缩短审查处理时限，切实提高立案审查效率。将劳动人事争议调解、仲裁程序充分结合，构建立案前调解、开庭前调解、开庭中调解、开庭后调解“四位一体”的调解体系。全年受理案件209件，结案207件（其中裁决82件、调解125件），劳动人事争议仲裁结案率99%、劳动人事争议调解成功率60%，均完成目标任务。</w:t>
      </w:r>
      <w:r>
        <w:rPr>
          <w:rFonts w:ascii="Times New Roman" w:hAnsi="Times New Roman" w:eastAsia="方正仿宋_GBK"/>
          <w:b/>
          <w:sz w:val="33"/>
          <w:szCs w:val="33"/>
        </w:rPr>
        <w:t>整合职能，完善机制。</w:t>
      </w:r>
      <w:r>
        <w:rPr>
          <w:rFonts w:ascii="Times New Roman" w:hAnsi="Times New Roman" w:eastAsia="方正仿宋_GBK"/>
          <w:sz w:val="33"/>
          <w:szCs w:val="33"/>
        </w:rPr>
        <w:t>全面整合劳动监察、仲裁、工伤认定、乡镇大调解中心、企业工会等调处职能，建立县、乡镇（园区）、企业三级劳动纠纷调解体系，形成快速、灵活、高效的劳动争议预防、预警和化解机制。</w:t>
      </w:r>
      <w:r>
        <w:rPr>
          <w:rFonts w:ascii="Times New Roman" w:hAnsi="Times New Roman" w:eastAsia="方正仿宋_GBK"/>
          <w:b/>
          <w:sz w:val="33"/>
          <w:szCs w:val="33"/>
        </w:rPr>
        <w:t>定期培训，优化队伍。</w:t>
      </w:r>
      <w:r>
        <w:rPr>
          <w:rFonts w:ascii="Times New Roman" w:hAnsi="Times New Roman" w:eastAsia="方正仿宋_GBK"/>
          <w:sz w:val="33"/>
          <w:szCs w:val="33"/>
        </w:rPr>
        <w:t>建立定期培训制度，采取“以老带新”方式，深入开展业务培训，举办案例分析和法律法规难点分析活动，努力提高工作人员的政治素质和业务能力。</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4.“理”字为本，全力做好信访维稳。落实领导包案责任制度。</w:t>
      </w:r>
      <w:r>
        <w:rPr>
          <w:rFonts w:ascii="Times New Roman" w:hAnsi="Times New Roman" w:eastAsia="方正仿宋_GBK"/>
          <w:sz w:val="33"/>
          <w:szCs w:val="33"/>
        </w:rPr>
        <w:t>对信访案件实行“一案一策”，由分管领导包案，责任股室或经办机构具体办理，努力将信访案件化解在基层。</w:t>
      </w:r>
      <w:r>
        <w:rPr>
          <w:rFonts w:ascii="Times New Roman" w:hAnsi="Times New Roman" w:eastAsia="方正仿宋_GBK"/>
          <w:b/>
          <w:sz w:val="33"/>
          <w:szCs w:val="33"/>
        </w:rPr>
        <w:t>稳妥处理信访案件。</w:t>
      </w:r>
      <w:r>
        <w:rPr>
          <w:rFonts w:ascii="Times New Roman" w:hAnsi="Times New Roman" w:eastAsia="方正仿宋_GBK"/>
          <w:sz w:val="33"/>
          <w:szCs w:val="33"/>
        </w:rPr>
        <w:t>严格信访工作程序，建立信访登记台账，实行信访分类处理和闭环处理办法，积极化解信访案件。受理信访案件516件，已办结503件；受理省级、市级重复信访治理交办案件各1件，正在按要求逐步办理。</w:t>
      </w:r>
      <w:r>
        <w:rPr>
          <w:rFonts w:ascii="Times New Roman" w:hAnsi="Times New Roman" w:eastAsia="方正仿宋_GBK"/>
          <w:b/>
          <w:sz w:val="33"/>
          <w:szCs w:val="33"/>
        </w:rPr>
        <w:t>扎实做好信访接待。</w:t>
      </w:r>
      <w:r>
        <w:rPr>
          <w:rFonts w:ascii="Times New Roman" w:hAnsi="Times New Roman" w:eastAsia="方正仿宋_GBK"/>
          <w:sz w:val="33"/>
          <w:szCs w:val="33"/>
        </w:rPr>
        <w:t>热情接待群众来访，对合理诉求及时办理，对不合理诉求做好政策解释和思想疏导，对缠访闹访群众耐心解释，热情服务，争取息诉息访。</w:t>
      </w:r>
    </w:p>
    <w:p>
      <w:pPr>
        <w:spacing w:line="590" w:lineRule="exact"/>
        <w:ind w:firstLine="663" w:firstLineChars="200"/>
        <w:rPr>
          <w:rFonts w:hint="eastAsia" w:ascii="方正楷体_GBK" w:hAnsi="Times New Roman" w:eastAsia="方正楷体_GBK"/>
          <w:b/>
          <w:sz w:val="33"/>
          <w:szCs w:val="33"/>
        </w:rPr>
      </w:pPr>
      <w:r>
        <w:rPr>
          <w:rFonts w:hint="eastAsia" w:ascii="方正楷体_GBK" w:hAnsi="Times New Roman" w:eastAsia="方正楷体_GBK"/>
          <w:b/>
          <w:sz w:val="33"/>
          <w:szCs w:val="33"/>
        </w:rPr>
        <w:t>（三）围绕民生，服务大局，充当社会管理“服务器”</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1.就业创业局势日趋稳定。千方百计扩大就业。</w:t>
      </w:r>
      <w:r>
        <w:rPr>
          <w:rFonts w:ascii="Times New Roman" w:hAnsi="Times New Roman" w:eastAsia="方正仿宋_GBK"/>
          <w:sz w:val="33"/>
          <w:szCs w:val="33"/>
        </w:rPr>
        <w:t>实施稳就业攻坚行动，积极对接企业用工需求，积极开展就业援助月等专项行动，促进重点群体充分就业。全年城镇新增就业</w:t>
      </w:r>
      <w:r>
        <w:rPr>
          <w:rFonts w:hint="eastAsia" w:ascii="Times New Roman" w:hAnsi="Times New Roman" w:eastAsia="方正仿宋_GBK"/>
          <w:sz w:val="33"/>
          <w:szCs w:val="33"/>
          <w:lang w:val="en-US" w:eastAsia="zh-CN"/>
        </w:rPr>
        <w:t>7684</w:t>
      </w:r>
      <w:r>
        <w:rPr>
          <w:rFonts w:ascii="Times New Roman" w:hAnsi="Times New Roman" w:eastAsia="方正仿宋_GBK"/>
          <w:sz w:val="33"/>
          <w:szCs w:val="33"/>
        </w:rPr>
        <w:t>人、失业人员再就业</w:t>
      </w:r>
      <w:r>
        <w:rPr>
          <w:rFonts w:hint="eastAsia" w:ascii="Times New Roman" w:hAnsi="Times New Roman" w:eastAsia="方正仿宋_GBK"/>
          <w:sz w:val="33"/>
          <w:szCs w:val="33"/>
          <w:lang w:val="en-US" w:eastAsia="zh-CN"/>
        </w:rPr>
        <w:t>2016</w:t>
      </w:r>
      <w:r>
        <w:rPr>
          <w:rFonts w:ascii="Times New Roman" w:hAnsi="Times New Roman" w:eastAsia="方正仿宋_GBK"/>
          <w:sz w:val="33"/>
          <w:szCs w:val="33"/>
        </w:rPr>
        <w:t>人、就业困难人员就业</w:t>
      </w:r>
      <w:r>
        <w:rPr>
          <w:rFonts w:hint="eastAsia" w:ascii="Times New Roman" w:hAnsi="Times New Roman" w:eastAsia="方正仿宋_GBK"/>
          <w:sz w:val="33"/>
          <w:szCs w:val="33"/>
          <w:lang w:val="en-US" w:eastAsia="zh-CN"/>
        </w:rPr>
        <w:t>599</w:t>
      </w:r>
      <w:r>
        <w:rPr>
          <w:rFonts w:ascii="Times New Roman" w:hAnsi="Times New Roman" w:eastAsia="方正仿宋_GBK"/>
          <w:sz w:val="33"/>
          <w:szCs w:val="33"/>
        </w:rPr>
        <w:t>人，分别完成目标任务的</w:t>
      </w:r>
      <w:r>
        <w:rPr>
          <w:rFonts w:hint="eastAsia" w:ascii="Times New Roman" w:hAnsi="Times New Roman" w:eastAsia="方正仿宋_GBK"/>
          <w:sz w:val="33"/>
          <w:szCs w:val="33"/>
          <w:lang w:val="en-US" w:eastAsia="zh-CN"/>
        </w:rPr>
        <w:t>113</w:t>
      </w:r>
      <w:r>
        <w:rPr>
          <w:rFonts w:ascii="Times New Roman" w:hAnsi="Times New Roman" w:eastAsia="方正仿宋_GBK"/>
          <w:sz w:val="33"/>
          <w:szCs w:val="33"/>
        </w:rPr>
        <w:t>%、</w:t>
      </w:r>
      <w:r>
        <w:rPr>
          <w:rFonts w:hint="eastAsia" w:ascii="Times New Roman" w:hAnsi="Times New Roman" w:eastAsia="方正仿宋_GBK"/>
          <w:sz w:val="33"/>
          <w:szCs w:val="33"/>
          <w:lang w:val="en-US" w:eastAsia="zh-CN"/>
        </w:rPr>
        <w:t>112</w:t>
      </w:r>
      <w:r>
        <w:rPr>
          <w:rFonts w:ascii="Times New Roman" w:hAnsi="Times New Roman" w:eastAsia="方正仿宋_GBK"/>
          <w:sz w:val="33"/>
          <w:szCs w:val="33"/>
        </w:rPr>
        <w:t>%、</w:t>
      </w:r>
      <w:r>
        <w:rPr>
          <w:rFonts w:hint="eastAsia" w:ascii="Times New Roman" w:hAnsi="Times New Roman" w:eastAsia="方正仿宋_GBK"/>
          <w:sz w:val="33"/>
          <w:szCs w:val="33"/>
          <w:lang w:val="en-US" w:eastAsia="zh-CN"/>
        </w:rPr>
        <w:t>110.9</w:t>
      </w:r>
      <w:r>
        <w:rPr>
          <w:rFonts w:ascii="Times New Roman" w:hAnsi="Times New Roman" w:eastAsia="方正仿宋_GBK"/>
          <w:sz w:val="33"/>
          <w:szCs w:val="33"/>
        </w:rPr>
        <w:t>%；城镇登记失业率3.8%，控制在年目标4%以内。</w:t>
      </w:r>
      <w:r>
        <w:rPr>
          <w:rFonts w:ascii="Times New Roman" w:hAnsi="Times New Roman" w:eastAsia="方正仿宋_GBK"/>
          <w:b/>
          <w:sz w:val="33"/>
          <w:szCs w:val="33"/>
        </w:rPr>
        <w:t>强化培训促进就业。</w:t>
      </w:r>
      <w:r>
        <w:rPr>
          <w:rFonts w:ascii="Times New Roman" w:hAnsi="Times New Roman" w:eastAsia="方正仿宋_GBK"/>
          <w:sz w:val="33"/>
          <w:szCs w:val="33"/>
        </w:rPr>
        <w:t>围绕特色产业经济、园区企业培训需求，依托企业培训中心、职业技能培训机构等，大力开展职业技能提升行动，全面提升劳动者职业技能水平和就业创业能力。全年开展各类补贴性职业技能培训3960人次，完成目标任务的165%。</w:t>
      </w:r>
      <w:r>
        <w:rPr>
          <w:rFonts w:ascii="Times New Roman" w:hAnsi="Times New Roman" w:eastAsia="方正仿宋_GBK"/>
          <w:b/>
          <w:sz w:val="33"/>
          <w:szCs w:val="33"/>
        </w:rPr>
        <w:t>优化服务带动就业。</w:t>
      </w:r>
      <w:r>
        <w:rPr>
          <w:rFonts w:ascii="Times New Roman" w:hAnsi="Times New Roman" w:eastAsia="方正仿宋_GBK"/>
          <w:sz w:val="33"/>
          <w:szCs w:val="33"/>
        </w:rPr>
        <w:t>开展大型专场招聘会2次，参加企业67家，提供项目经理、工程师、销售等100余个工种1100个岗位。疫情期间，举办各类线上招聘20场次，为127个省内外企业发布招聘信息1379条，提供岗位11375个，达成求职意向数2893个。设立用于疫情监测、消毒保洁等临时公益性岗位963个，安置因疫情无法外出的就业困难人员就业。</w:t>
      </w:r>
      <w:r>
        <w:rPr>
          <w:rFonts w:ascii="Times New Roman" w:hAnsi="Times New Roman" w:eastAsia="方正仿宋_GBK"/>
          <w:b/>
          <w:sz w:val="33"/>
          <w:szCs w:val="33"/>
        </w:rPr>
        <w:t>落实政策扶持创业。</w:t>
      </w:r>
      <w:r>
        <w:rPr>
          <w:rFonts w:ascii="Times New Roman" w:hAnsi="Times New Roman" w:eastAsia="方正仿宋_GBK"/>
          <w:sz w:val="33"/>
          <w:szCs w:val="33"/>
        </w:rPr>
        <w:t>积极落实创业补贴、稳岗返还、创业担保贷款等扶持政策，助推返乡农民工、就业困难人员等群众实现创业。为366人拨付创业补贴366万元，为110人发放创业担保贷款1834万元，为125户企业拨付失业保险稳岗返还资金358.71万元。</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2.社会保障体系日臻完善。参保任务圆满完成。</w:t>
      </w:r>
      <w:r>
        <w:rPr>
          <w:rFonts w:ascii="Times New Roman" w:hAnsi="Times New Roman" w:eastAsia="方正仿宋_GBK"/>
          <w:sz w:val="33"/>
          <w:szCs w:val="33"/>
        </w:rPr>
        <w:t>以养老、失业、工伤保险为重点，聚焦中小微企业职工、灵活就业人员、新业态从业人员等重点群体，持续推进社会保险扩面征缴。企业职工养老保险、机关事业单位养老保险、失业保险、工伤保险参保人数分别达到</w:t>
      </w:r>
      <w:r>
        <w:rPr>
          <w:rFonts w:hint="default" w:ascii="Times New Roman" w:hAnsi="Times New Roman" w:eastAsia="方正仿宋_GBK" w:cs="Times New Roman"/>
          <w:sz w:val="33"/>
          <w:szCs w:val="33"/>
        </w:rPr>
        <w:t>5.78万人、1.15万人、2.25万人、2.55万人</w:t>
      </w:r>
      <w:r>
        <w:rPr>
          <w:rFonts w:ascii="Times New Roman" w:hAnsi="Times New Roman" w:eastAsia="方正仿宋_GBK"/>
          <w:sz w:val="33"/>
          <w:szCs w:val="33"/>
        </w:rPr>
        <w:t>，参保完成目标任务的</w:t>
      </w:r>
      <w:r>
        <w:rPr>
          <w:rFonts w:hint="eastAsia" w:ascii="Times New Roman" w:hAnsi="Times New Roman" w:eastAsia="方正仿宋_GBK"/>
          <w:sz w:val="33"/>
          <w:szCs w:val="33"/>
          <w:lang w:val="en-US" w:eastAsia="zh-CN"/>
        </w:rPr>
        <w:t>100.34</w:t>
      </w:r>
      <w:r>
        <w:rPr>
          <w:rFonts w:ascii="Times New Roman" w:hAnsi="Times New Roman" w:eastAsia="方正仿宋_GBK"/>
          <w:sz w:val="33"/>
          <w:szCs w:val="33"/>
        </w:rPr>
        <w:t>%、</w:t>
      </w:r>
      <w:r>
        <w:rPr>
          <w:rFonts w:hint="eastAsia" w:ascii="Times New Roman" w:hAnsi="Times New Roman" w:eastAsia="方正仿宋_GBK"/>
          <w:sz w:val="33"/>
          <w:szCs w:val="33"/>
          <w:lang w:val="en-US" w:eastAsia="zh-CN"/>
        </w:rPr>
        <w:t>100</w:t>
      </w:r>
      <w:r>
        <w:rPr>
          <w:rFonts w:ascii="Times New Roman" w:hAnsi="Times New Roman" w:eastAsia="方正仿宋_GBK"/>
          <w:sz w:val="33"/>
          <w:szCs w:val="33"/>
        </w:rPr>
        <w:t>%、</w:t>
      </w:r>
      <w:r>
        <w:rPr>
          <w:rFonts w:hint="eastAsia" w:ascii="Times New Roman" w:hAnsi="Times New Roman" w:eastAsia="方正仿宋_GBK"/>
          <w:sz w:val="33"/>
          <w:szCs w:val="33"/>
          <w:lang w:val="en-US" w:eastAsia="zh-CN"/>
        </w:rPr>
        <w:t>102.27</w:t>
      </w:r>
      <w:r>
        <w:rPr>
          <w:rFonts w:ascii="Times New Roman" w:hAnsi="Times New Roman" w:eastAsia="方正仿宋_GBK"/>
          <w:sz w:val="33"/>
          <w:szCs w:val="33"/>
        </w:rPr>
        <w:t>%、10</w:t>
      </w:r>
      <w:r>
        <w:rPr>
          <w:rFonts w:hint="eastAsia" w:ascii="Times New Roman" w:hAnsi="Times New Roman" w:eastAsia="方正仿宋_GBK"/>
          <w:sz w:val="33"/>
          <w:szCs w:val="33"/>
          <w:lang w:val="en-US" w:eastAsia="zh-CN"/>
        </w:rPr>
        <w:t>2</w:t>
      </w:r>
      <w:r>
        <w:rPr>
          <w:rFonts w:ascii="Times New Roman" w:hAnsi="Times New Roman" w:eastAsia="方正仿宋_GBK"/>
          <w:sz w:val="33"/>
          <w:szCs w:val="33"/>
        </w:rPr>
        <w:t>%；城乡居民养老保险参保覆盖</w:t>
      </w:r>
      <w:r>
        <w:rPr>
          <w:rFonts w:hint="eastAsia" w:ascii="Times New Roman" w:hAnsi="Times New Roman" w:eastAsia="方正仿宋_GBK"/>
          <w:sz w:val="33"/>
          <w:szCs w:val="33"/>
          <w:lang w:val="en-US" w:eastAsia="zh-CN"/>
        </w:rPr>
        <w:t>54.3</w:t>
      </w:r>
      <w:r>
        <w:rPr>
          <w:rFonts w:ascii="Times New Roman" w:hAnsi="Times New Roman" w:eastAsia="方正仿宋_GBK"/>
          <w:sz w:val="33"/>
          <w:szCs w:val="33"/>
        </w:rPr>
        <w:t>万人。</w:t>
      </w:r>
      <w:r>
        <w:rPr>
          <w:rFonts w:ascii="Times New Roman" w:hAnsi="Times New Roman" w:eastAsia="方正仿宋_GBK"/>
          <w:b/>
          <w:sz w:val="33"/>
          <w:szCs w:val="33"/>
        </w:rPr>
        <w:t>社保待遇及时发放。</w:t>
      </w:r>
      <w:r>
        <w:rPr>
          <w:rFonts w:ascii="Times New Roman" w:hAnsi="Times New Roman" w:eastAsia="方正仿宋_GBK"/>
          <w:sz w:val="33"/>
          <w:szCs w:val="33"/>
        </w:rPr>
        <w:t>继续巩固发放成果，离退休人员社会化发放率保持100%。为44688名企业离退休人员发放养老金91586.86万元，为60周岁以上城乡居民发放养老金17503.05万元，发放机关事业单位养老金36176万元，发放城镇失业人员和被征地农民失业保险2405.35万元，为92人支付工伤保险待遇1036.27万元。</w:t>
      </w:r>
      <w:r>
        <w:rPr>
          <w:rFonts w:ascii="Times New Roman" w:hAnsi="Times New Roman" w:eastAsia="方正仿宋_GBK"/>
          <w:b/>
          <w:sz w:val="33"/>
          <w:szCs w:val="33"/>
        </w:rPr>
        <w:t>降费减负助企渡难。</w:t>
      </w:r>
      <w:bookmarkStart w:id="27" w:name="OLE_LINK6"/>
      <w:r>
        <w:rPr>
          <w:rFonts w:ascii="Times New Roman" w:hAnsi="Times New Roman" w:eastAsia="方正仿宋_GBK"/>
          <w:sz w:val="33"/>
          <w:szCs w:val="33"/>
        </w:rPr>
        <w:t>贯彻落实上级相关规定，严格执行社保降费和减免政策，降低企业用工成本，促进企业复工复产</w:t>
      </w:r>
      <w:bookmarkEnd w:id="27"/>
      <w:r>
        <w:rPr>
          <w:rFonts w:ascii="Times New Roman" w:hAnsi="Times New Roman" w:eastAsia="方正仿宋_GBK"/>
          <w:sz w:val="33"/>
          <w:szCs w:val="33"/>
        </w:rPr>
        <w:t>。为21户企业办理延期缴费174万元，为6户企业申请缓交社保费300万元，590户企业减免老保、工伤、失业保险费共计6872.14万元。</w:t>
      </w:r>
      <w:r>
        <w:rPr>
          <w:rFonts w:ascii="Times New Roman" w:hAnsi="Times New Roman" w:eastAsia="方正仿宋_GBK"/>
          <w:b/>
          <w:sz w:val="33"/>
          <w:szCs w:val="33"/>
        </w:rPr>
        <w:t>基金监管全面加强。</w:t>
      </w:r>
      <w:r>
        <w:rPr>
          <w:rFonts w:ascii="Times New Roman" w:hAnsi="Times New Roman" w:eastAsia="方正仿宋_GBK"/>
          <w:sz w:val="33"/>
          <w:szCs w:val="33"/>
        </w:rPr>
        <w:t>健全完善社保基金运行内控机制，做好重复领取、死亡冒领等疑点信息确认，提升社保基金监管水平，筑牢社保基金安全防线。对城乡居民养老保险215人进行追缴，追回基金23万元。</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3.人事人才工作日益规范。积极招才引才。</w:t>
      </w:r>
      <w:r>
        <w:rPr>
          <w:rFonts w:ascii="Times New Roman" w:hAnsi="Times New Roman" w:eastAsia="方正仿宋_GBK"/>
          <w:sz w:val="33"/>
          <w:szCs w:val="33"/>
        </w:rPr>
        <w:t>做好2020年事业单位公开招聘考试工作，招聘教育类、卫生类、综合类人员共173人。协助县人才办引进高层次人才27名，考核招聘卫生专技人员55名，考核招聘贫困地区定向医学专科生3人。</w:t>
      </w:r>
      <w:r>
        <w:rPr>
          <w:rFonts w:ascii="Times New Roman" w:hAnsi="Times New Roman" w:eastAsia="方正仿宋_GBK"/>
          <w:b/>
          <w:sz w:val="33"/>
          <w:szCs w:val="33"/>
        </w:rPr>
        <w:t>优化人才服务。</w:t>
      </w:r>
      <w:r>
        <w:rPr>
          <w:rFonts w:ascii="Times New Roman" w:hAnsi="Times New Roman" w:eastAsia="方正仿宋_GBK"/>
          <w:sz w:val="33"/>
          <w:szCs w:val="33"/>
        </w:rPr>
        <w:t>推进人才社会化服务工作，接收3682名流动人员人事档案，提供人才流动资格审查、政审服务等249人次。协助做好省专家团智力服务基层工作，围绕青花椒种植技术、乡村振兴论坛、火锅产业建设等项目，召开座谈会13场、现场指导50次、解决技术难题65个。</w:t>
      </w:r>
      <w:r>
        <w:rPr>
          <w:rFonts w:ascii="Times New Roman" w:hAnsi="Times New Roman" w:eastAsia="方正仿宋_GBK"/>
          <w:b/>
          <w:sz w:val="33"/>
          <w:szCs w:val="33"/>
        </w:rPr>
        <w:t>规范人事管理。</w:t>
      </w:r>
      <w:r>
        <w:rPr>
          <w:rFonts w:ascii="Times New Roman" w:hAnsi="Times New Roman" w:eastAsia="方正仿宋_GBK"/>
          <w:sz w:val="33"/>
          <w:szCs w:val="33"/>
        </w:rPr>
        <w:t>按要求做好职称评审工作，审核确认高中初级职称51人，推荐上报高级职称72人，办理专业技术职务资格证书637个。按规定开展事业单位中层干部任免工作，聘任34人、解聘3人。按程序做好人员流动工作，办理辞聘解聘备案32人，办理人员流动手续73人次，办理抽借调手续67人。</w:t>
      </w:r>
      <w:r>
        <w:rPr>
          <w:rFonts w:ascii="Times New Roman" w:hAnsi="Times New Roman" w:eastAsia="方正仿宋_GBK"/>
          <w:b/>
          <w:sz w:val="33"/>
          <w:szCs w:val="33"/>
        </w:rPr>
        <w:t>保障工资待遇。</w:t>
      </w:r>
      <w:r>
        <w:rPr>
          <w:rFonts w:ascii="Times New Roman" w:hAnsi="Times New Roman" w:eastAsia="方正仿宋_GBK"/>
          <w:sz w:val="33"/>
          <w:szCs w:val="33"/>
        </w:rPr>
        <w:t>办理退休手续93人、死亡抚恤69人。颁发“抗美援朝胜利70周年”纪念章459人。疫情期间，为一线医务人员（含援助湖北人员）380人审核临时性工作补贴61.23万元，为医疗卫生机构核增一次性绩效工资总量约350万元。</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4.农民工服务保障日渐强化。促进返乡创业。</w:t>
      </w:r>
      <w:r>
        <w:rPr>
          <w:rFonts w:ascii="Times New Roman" w:hAnsi="Times New Roman" w:eastAsia="方正仿宋_GBK"/>
          <w:sz w:val="33"/>
          <w:szCs w:val="33"/>
        </w:rPr>
        <w:t>贯彻落实返乡下乡创业22条措施，积极开展职业技能培训，鼓励支持返乡农民工就地就业和创业。劳务品牌培训、创业培训分别完成1366人、444人，全县返乡创业农民工累计达到1852人，创办企业累计1852个。</w:t>
      </w:r>
      <w:r>
        <w:rPr>
          <w:rFonts w:ascii="Times New Roman" w:hAnsi="Times New Roman" w:eastAsia="方正仿宋_GBK"/>
          <w:b/>
          <w:sz w:val="33"/>
          <w:szCs w:val="33"/>
        </w:rPr>
        <w:t>推进劳务开发。</w:t>
      </w:r>
      <w:r>
        <w:rPr>
          <w:rFonts w:ascii="Times New Roman" w:hAnsi="Times New Roman" w:eastAsia="方正仿宋_GBK"/>
          <w:sz w:val="33"/>
          <w:szCs w:val="33"/>
        </w:rPr>
        <w:t>加强农村劳动力实名制数据动态更新管理，各乡镇完成数据录入386985条。强化与县外用工企业的联系，搭建农民工外出务工“桥梁”，全年转移输出35.96万人，实现劳务收入65.4亿元。</w:t>
      </w:r>
      <w:r>
        <w:rPr>
          <w:rFonts w:ascii="Times New Roman" w:hAnsi="Times New Roman" w:eastAsia="方正仿宋_GBK"/>
          <w:b/>
          <w:sz w:val="33"/>
          <w:szCs w:val="33"/>
        </w:rPr>
        <w:t>提升服务水平。</w:t>
      </w:r>
      <w:r>
        <w:rPr>
          <w:rFonts w:ascii="Times New Roman" w:hAnsi="Times New Roman" w:eastAsia="方正仿宋_GBK"/>
          <w:sz w:val="33"/>
          <w:szCs w:val="33"/>
        </w:rPr>
        <w:t>春节期间，开展专车接送、走访慰问等专项行动，提升农民工的幸福感、获得感。开通“春风行动”返岗专车345班，累计运送运送5389人；为返岗复工农民工办理健康证明18.5万人；赴重庆走访慰问农民企业家和农民工代表102人。</w:t>
      </w:r>
    </w:p>
    <w:p>
      <w:pPr>
        <w:spacing w:line="590" w:lineRule="exact"/>
        <w:ind w:firstLine="663" w:firstLineChars="200"/>
        <w:rPr>
          <w:rFonts w:hint="eastAsia" w:ascii="方正楷体_GBK" w:hAnsi="Times New Roman" w:eastAsia="方正楷体_GBK"/>
          <w:b/>
          <w:sz w:val="33"/>
          <w:szCs w:val="33"/>
        </w:rPr>
      </w:pPr>
      <w:r>
        <w:rPr>
          <w:rFonts w:hint="eastAsia" w:ascii="方正楷体_GBK" w:hAnsi="Times New Roman" w:eastAsia="方正楷体_GBK"/>
          <w:b/>
          <w:sz w:val="33"/>
          <w:szCs w:val="33"/>
        </w:rPr>
        <w:t>（四）强化管理，锤炼队伍，增强建功立业“软实力”</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1.突出主责，大力抓好基层党建工作。</w:t>
      </w:r>
      <w:r>
        <w:rPr>
          <w:rFonts w:ascii="Times New Roman" w:hAnsi="Times New Roman" w:eastAsia="方正仿宋_GBK"/>
          <w:sz w:val="33"/>
          <w:szCs w:val="33"/>
        </w:rPr>
        <w:t>制定全年党建工作要点，落实党建工作各项制度，召开党建专题会议4次，研究解决重大问题。严格落实“三会一课”、组织生活会、民主评议、谈心谈话、党性分析等制度，促使党内生活规范开展。认真履行“一岗双责”责任，常态抓好党员学习教育，把党建工作与业务工作同部署，同落实，同考核，充分发挥党建工作的带头引领作用。</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2.激浊扬清，深入推进党风廉政建设。</w:t>
      </w:r>
      <w:r>
        <w:rPr>
          <w:rFonts w:ascii="Times New Roman" w:hAnsi="Times New Roman" w:eastAsia="方正仿宋_GBK"/>
          <w:sz w:val="33"/>
          <w:szCs w:val="33"/>
        </w:rPr>
        <w:t>全面落实“两个责任”，坚持每季度听取1次党风廉政建设情况汇报，分析形势，找准问题，落实整改。对重点岗位工作人员不定期进行纪律监督5次，逢重大时间节点对重点人员进行廉政谈话10次，充分发挥监督作用。结合人社系统纪律作风建设，查找干部职工在纪律作风方面存在的问题，开展经常性的教育引导，提升为民服务能力。</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3.固本培元，切实加强意识形态工作。</w:t>
      </w:r>
      <w:r>
        <w:rPr>
          <w:rFonts w:ascii="Times New Roman" w:hAnsi="Times New Roman" w:eastAsia="方正仿宋_GBK"/>
          <w:sz w:val="33"/>
          <w:szCs w:val="33"/>
        </w:rPr>
        <w:t>认真落实意识形态工作责任制，每半年专题研究部署1次意识形态工作，每季度分析研判1次意识形态领域形势，查摆风险隐患，提出工作建议。将意识形态工作纳入党建工作和党委中心组学习的重要内容，提升领导干部抓好意识形态工作主动性和自觉性。坚持良性舆论引导，紧盯重点行业、重点群体，强化风险排查，及时回应化解隐患，维护社会和谐稳定。</w:t>
      </w:r>
    </w:p>
    <w:p>
      <w:pPr>
        <w:spacing w:line="590" w:lineRule="exact"/>
        <w:ind w:firstLine="663" w:firstLineChars="200"/>
        <w:rPr>
          <w:rFonts w:ascii="Times New Roman" w:hAnsi="Times New Roman" w:eastAsia="方正仿宋_GBK"/>
          <w:sz w:val="33"/>
          <w:szCs w:val="33"/>
        </w:rPr>
      </w:pPr>
      <w:r>
        <w:rPr>
          <w:rFonts w:ascii="Times New Roman" w:hAnsi="Times New Roman" w:eastAsia="方正仿宋_GBK"/>
          <w:b/>
          <w:sz w:val="33"/>
          <w:szCs w:val="33"/>
        </w:rPr>
        <w:t>4.内外兼修，全面强化干部队伍建设。</w:t>
      </w:r>
      <w:r>
        <w:rPr>
          <w:rFonts w:ascii="Times New Roman" w:hAnsi="Times New Roman" w:eastAsia="方正仿宋_GBK"/>
          <w:sz w:val="33"/>
          <w:szCs w:val="33"/>
        </w:rPr>
        <w:t>紧扣“让人民满意”工作目标，举办办文办会专题培训，完善考勤、请销假等规章制度，规范工作流程，精简办事流程，提升服务能力。开展“人社系统比武练兵活动”，动员系统内外1300余人参与网络答题，学理论、学法规、学业务、学制度、学礼仪，提升干部职工综合素质。定期开展“学赶先进、争当先锋”活动，选树优质服务窗口、优秀服务标兵，营造创先争优的浓厚氛围。</w:t>
      </w:r>
    </w:p>
    <w:p>
      <w:pPr>
        <w:pStyle w:val="3"/>
        <w:spacing w:before="0" w:after="0" w:line="590" w:lineRule="exact"/>
        <w:rPr>
          <w:rStyle w:val="26"/>
          <w:rFonts w:ascii="方正楷体_GBK" w:hAnsi="Times New Roman" w:eastAsia="方正楷体_GBK" w:cs="Times New Roman"/>
          <w:b w:val="0"/>
          <w:bCs w:val="0"/>
          <w:sz w:val="33"/>
          <w:szCs w:val="33"/>
        </w:rPr>
      </w:pPr>
      <w:r>
        <w:rPr>
          <w:rFonts w:hint="eastAsia" w:ascii="方正楷体_GBK" w:hAnsi="Times New Roman" w:eastAsia="方正楷体_GBK" w:cs="Times New Roman"/>
          <w:color w:val="000000"/>
          <w:sz w:val="33"/>
          <w:szCs w:val="33"/>
        </w:rPr>
        <w:t>二、机</w:t>
      </w:r>
      <w:r>
        <w:rPr>
          <w:rStyle w:val="26"/>
          <w:rFonts w:hint="eastAsia" w:ascii="方正楷体_GBK" w:hAnsi="Times New Roman" w:eastAsia="方正楷体_GBK" w:cs="Times New Roman"/>
          <w:b w:val="0"/>
          <w:bCs w:val="0"/>
          <w:sz w:val="33"/>
          <w:szCs w:val="33"/>
        </w:rPr>
        <w:t>构设置</w:t>
      </w:r>
      <w:bookmarkEnd w:id="24"/>
      <w:bookmarkEnd w:id="25"/>
      <w:bookmarkEnd w:id="26"/>
    </w:p>
    <w:p>
      <w:pPr>
        <w:spacing w:line="590" w:lineRule="exact"/>
        <w:ind w:firstLine="825" w:firstLineChars="250"/>
        <w:rPr>
          <w:rFonts w:eastAsia="方正仿宋_GBK"/>
          <w:sz w:val="33"/>
          <w:szCs w:val="33"/>
        </w:rPr>
      </w:pPr>
      <w:r>
        <w:rPr>
          <w:rFonts w:eastAsia="方正仿宋_GBK"/>
          <w:color w:val="000000"/>
          <w:sz w:val="33"/>
          <w:szCs w:val="33"/>
        </w:rPr>
        <w:t>我局下属二级预算单位4个，其中行政单位</w:t>
      </w:r>
      <w:r>
        <w:rPr>
          <w:rFonts w:hint="eastAsia" w:eastAsia="方正仿宋_GBK"/>
          <w:color w:val="000000"/>
          <w:sz w:val="33"/>
          <w:szCs w:val="33"/>
        </w:rPr>
        <w:t>0</w:t>
      </w:r>
      <w:r>
        <w:rPr>
          <w:rFonts w:eastAsia="方正仿宋_GBK"/>
          <w:color w:val="000000"/>
          <w:sz w:val="33"/>
          <w:szCs w:val="33"/>
        </w:rPr>
        <w:t>个，参</w:t>
      </w:r>
      <w:r>
        <w:rPr>
          <w:rFonts w:eastAsia="方正仿宋_GBK"/>
          <w:sz w:val="33"/>
          <w:szCs w:val="33"/>
        </w:rPr>
        <w:t>照公务员法管理的事业单位0个，其他事业单位</w:t>
      </w:r>
      <w:r>
        <w:rPr>
          <w:rFonts w:hint="eastAsia" w:eastAsia="方正仿宋_GBK"/>
          <w:sz w:val="33"/>
          <w:szCs w:val="33"/>
        </w:rPr>
        <w:t>4</w:t>
      </w:r>
      <w:r>
        <w:rPr>
          <w:rFonts w:eastAsia="方正仿宋_GBK"/>
          <w:sz w:val="33"/>
          <w:szCs w:val="33"/>
        </w:rPr>
        <w:t>个。</w:t>
      </w:r>
    </w:p>
    <w:p>
      <w:pPr>
        <w:pStyle w:val="5"/>
        <w:adjustRightInd w:val="0"/>
        <w:snapToGrid w:val="0"/>
        <w:spacing w:beforeLines="0" w:line="590" w:lineRule="exact"/>
        <w:ind w:firstLine="693" w:firstLineChars="210"/>
        <w:rPr>
          <w:rFonts w:ascii="Times New Roman" w:eastAsia="方正仿宋_GBK"/>
          <w:color w:val="000000"/>
          <w:sz w:val="33"/>
          <w:szCs w:val="33"/>
        </w:rPr>
      </w:pPr>
      <w:r>
        <w:rPr>
          <w:rFonts w:ascii="Times New Roman" w:eastAsia="方正仿宋_GBK"/>
          <w:color w:val="000000"/>
          <w:sz w:val="33"/>
          <w:szCs w:val="33"/>
        </w:rPr>
        <w:t>纳入我局</w:t>
      </w:r>
      <w:r>
        <w:rPr>
          <w:rFonts w:hint="eastAsia" w:ascii="Times New Roman" w:eastAsia="方正仿宋_GBK"/>
          <w:color w:val="000000"/>
          <w:sz w:val="33"/>
          <w:szCs w:val="33"/>
          <w:lang w:val="en-US" w:eastAsia="zh-CN"/>
        </w:rPr>
        <w:t>2020</w:t>
      </w:r>
      <w:r>
        <w:rPr>
          <w:rFonts w:ascii="Times New Roman" w:eastAsia="方正仿宋_GBK"/>
          <w:color w:val="000000"/>
          <w:sz w:val="33"/>
          <w:szCs w:val="33"/>
        </w:rPr>
        <w:t>年度部门决算编制范围的二级预算单位包括：</w:t>
      </w:r>
    </w:p>
    <w:p>
      <w:pPr>
        <w:spacing w:line="590" w:lineRule="exact"/>
        <w:ind w:firstLine="660" w:firstLineChars="200"/>
        <w:rPr>
          <w:rFonts w:eastAsia="方正仿宋_GBK"/>
          <w:color w:val="000000"/>
          <w:sz w:val="33"/>
          <w:szCs w:val="33"/>
        </w:rPr>
      </w:pPr>
      <w:r>
        <w:rPr>
          <w:rFonts w:hint="eastAsia" w:eastAsia="方正仿宋_GBK"/>
          <w:color w:val="000000"/>
          <w:sz w:val="33"/>
          <w:szCs w:val="33"/>
        </w:rPr>
        <w:t>1.</w:t>
      </w:r>
      <w:r>
        <w:rPr>
          <w:rFonts w:eastAsia="方正仿宋_GBK"/>
          <w:color w:val="000000"/>
          <w:sz w:val="33"/>
          <w:szCs w:val="33"/>
        </w:rPr>
        <w:t>武胜县人力资源服务中心</w:t>
      </w:r>
    </w:p>
    <w:p>
      <w:pPr>
        <w:spacing w:line="590" w:lineRule="exact"/>
        <w:ind w:firstLine="660" w:firstLineChars="200"/>
        <w:rPr>
          <w:rFonts w:eastAsia="方正仿宋_GBK"/>
          <w:color w:val="000000"/>
          <w:sz w:val="33"/>
          <w:szCs w:val="33"/>
        </w:rPr>
      </w:pPr>
      <w:r>
        <w:rPr>
          <w:rFonts w:hint="eastAsia" w:eastAsia="方正仿宋_GBK"/>
          <w:color w:val="000000"/>
          <w:sz w:val="33"/>
          <w:szCs w:val="33"/>
        </w:rPr>
        <w:t>2.</w:t>
      </w:r>
      <w:r>
        <w:rPr>
          <w:rFonts w:eastAsia="方正仿宋_GBK"/>
          <w:color w:val="000000"/>
          <w:sz w:val="33"/>
          <w:szCs w:val="33"/>
        </w:rPr>
        <w:t>武胜县劳动人事争议仲裁院</w:t>
      </w:r>
    </w:p>
    <w:p>
      <w:pPr>
        <w:spacing w:line="590" w:lineRule="exact"/>
        <w:ind w:firstLine="660" w:firstLineChars="200"/>
        <w:rPr>
          <w:rFonts w:eastAsia="方正仿宋_GBK"/>
          <w:color w:val="000000"/>
          <w:sz w:val="33"/>
          <w:szCs w:val="33"/>
        </w:rPr>
      </w:pPr>
      <w:r>
        <w:rPr>
          <w:rFonts w:hint="eastAsia" w:eastAsia="方正仿宋_GBK"/>
          <w:color w:val="000000"/>
          <w:sz w:val="33"/>
          <w:szCs w:val="33"/>
        </w:rPr>
        <w:t>3.</w:t>
      </w:r>
      <w:r>
        <w:rPr>
          <w:rFonts w:eastAsia="方正仿宋_GBK"/>
          <w:color w:val="000000"/>
          <w:sz w:val="33"/>
          <w:szCs w:val="33"/>
        </w:rPr>
        <w:t>武胜县人力资源社会保障信息中心</w:t>
      </w:r>
    </w:p>
    <w:p>
      <w:pPr>
        <w:spacing w:line="590" w:lineRule="exact"/>
        <w:ind w:firstLine="660" w:firstLineChars="200"/>
        <w:rPr>
          <w:rFonts w:ascii="仿宋" w:hAnsi="仿宋" w:eastAsia="仿宋"/>
          <w:color w:val="000000"/>
          <w:kern w:val="0"/>
          <w:sz w:val="32"/>
          <w:szCs w:val="32"/>
        </w:rPr>
      </w:pPr>
      <w:r>
        <w:rPr>
          <w:rFonts w:hint="eastAsia" w:eastAsia="方正仿宋_GBK"/>
          <w:color w:val="000000"/>
          <w:sz w:val="33"/>
          <w:szCs w:val="33"/>
        </w:rPr>
        <w:t>4.武胜县劳动保障监察服务中心</w:t>
      </w:r>
      <w:r>
        <w:rPr>
          <w:rFonts w:ascii="仿宋" w:hAnsi="仿宋" w:eastAsia="仿宋"/>
          <w:color w:val="000000"/>
          <w:sz w:val="32"/>
          <w:szCs w:val="32"/>
        </w:rPr>
        <w:br w:type="page"/>
      </w:r>
    </w:p>
    <w:p>
      <w:pPr>
        <w:pStyle w:val="2"/>
        <w:spacing w:before="0" w:after="0" w:line="590" w:lineRule="exact"/>
        <w:ind w:right="440"/>
        <w:jc w:val="center"/>
        <w:rPr>
          <w:rFonts w:ascii="方正黑体_GBK" w:eastAsia="方正黑体_GBK"/>
          <w:b w:val="0"/>
          <w:bCs w:val="0"/>
        </w:rPr>
      </w:pPr>
      <w:bookmarkStart w:id="28" w:name="_Toc15396602"/>
      <w:bookmarkStart w:id="29" w:name="_Toc15377204"/>
      <w:bookmarkStart w:id="30" w:name="_Toc49412317"/>
      <w:r>
        <w:rPr>
          <w:rFonts w:hint="eastAsia" w:ascii="方正黑体_GBK" w:eastAsia="方正黑体_GBK"/>
          <w:b w:val="0"/>
          <w:color w:val="000000"/>
        </w:rPr>
        <w:t>第二部分</w:t>
      </w:r>
      <w:r>
        <w:rPr>
          <w:rFonts w:hint="eastAsia" w:ascii="方正黑体_GBK" w:eastAsia="方正黑体_GBK"/>
          <w:color w:val="000000"/>
        </w:rPr>
        <w:t xml:space="preserve"> </w:t>
      </w:r>
      <w:r>
        <w:rPr>
          <w:rStyle w:val="25"/>
          <w:rFonts w:hint="eastAsia" w:ascii="方正黑体_GBK" w:eastAsia="方正黑体_GBK"/>
          <w:b w:val="0"/>
          <w:bCs w:val="0"/>
          <w:lang w:val="en-US" w:eastAsia="zh-CN"/>
        </w:rPr>
        <w:t>2020</w:t>
      </w:r>
      <w:r>
        <w:rPr>
          <w:rStyle w:val="25"/>
          <w:rFonts w:hint="eastAsia" w:ascii="方正黑体_GBK" w:eastAsia="方正黑体_GBK"/>
          <w:b w:val="0"/>
          <w:bCs w:val="0"/>
        </w:rPr>
        <w:t>年度部门决算情况说明</w:t>
      </w:r>
      <w:bookmarkEnd w:id="28"/>
      <w:bookmarkEnd w:id="29"/>
      <w:bookmarkEnd w:id="30"/>
    </w:p>
    <w:p>
      <w:pPr>
        <w:pStyle w:val="24"/>
        <w:numPr>
          <w:ilvl w:val="0"/>
          <w:numId w:val="1"/>
        </w:numPr>
        <w:spacing w:line="590" w:lineRule="exact"/>
        <w:ind w:firstLineChars="0"/>
        <w:outlineLvl w:val="1"/>
        <w:rPr>
          <w:rStyle w:val="26"/>
          <w:rFonts w:ascii="方正楷体_GBK" w:hAnsi="Times New Roman" w:eastAsia="方正楷体_GBK" w:cs="Times New Roman"/>
          <w:b w:val="0"/>
          <w:sz w:val="33"/>
          <w:szCs w:val="33"/>
        </w:rPr>
      </w:pPr>
      <w:bookmarkStart w:id="31" w:name="_Toc15377205"/>
      <w:bookmarkStart w:id="32" w:name="_Toc49412318"/>
      <w:bookmarkStart w:id="33" w:name="_Toc15396603"/>
      <w:r>
        <w:rPr>
          <w:rFonts w:hint="eastAsia" w:ascii="方正楷体_GBK" w:eastAsia="方正楷体_GBK"/>
          <w:b/>
          <w:color w:val="000000"/>
          <w:sz w:val="33"/>
          <w:szCs w:val="33"/>
        </w:rPr>
        <w:t>收</w:t>
      </w:r>
      <w:r>
        <w:rPr>
          <w:rStyle w:val="26"/>
          <w:rFonts w:hint="eastAsia" w:ascii="方正楷体_GBK" w:hAnsi="Times New Roman" w:eastAsia="方正楷体_GBK" w:cs="Times New Roman"/>
          <w:b w:val="0"/>
          <w:sz w:val="33"/>
          <w:szCs w:val="33"/>
        </w:rPr>
        <w:t>入支出决算总体情况说明</w:t>
      </w:r>
      <w:bookmarkEnd w:id="31"/>
      <w:bookmarkEnd w:id="32"/>
      <w:bookmarkEnd w:id="33"/>
    </w:p>
    <w:p>
      <w:pPr>
        <w:spacing w:line="590" w:lineRule="exact"/>
        <w:ind w:firstLine="660" w:firstLineChars="200"/>
        <w:rPr>
          <w:rFonts w:eastAsia="仿宋"/>
          <w:sz w:val="32"/>
          <w:szCs w:val="32"/>
        </w:rPr>
      </w:pPr>
      <w:r>
        <w:rPr>
          <w:rFonts w:hint="eastAsia" w:eastAsia="方正仿宋_GBK"/>
          <w:color w:val="000000"/>
          <w:sz w:val="33"/>
          <w:szCs w:val="33"/>
          <w:lang w:val="en-US" w:eastAsia="zh-CN"/>
        </w:rPr>
        <w:t>2020</w:t>
      </w:r>
      <w:r>
        <w:rPr>
          <w:rFonts w:eastAsia="方正仿宋_GBK"/>
          <w:color w:val="000000"/>
          <w:sz w:val="33"/>
          <w:szCs w:val="33"/>
        </w:rPr>
        <w:t>年度收入总计</w:t>
      </w:r>
      <w:r>
        <w:rPr>
          <w:rFonts w:hint="eastAsia" w:eastAsia="方正仿宋_GBK"/>
          <w:color w:val="000000"/>
          <w:sz w:val="33"/>
          <w:szCs w:val="33"/>
          <w:lang w:val="en-US" w:eastAsia="zh-CN"/>
        </w:rPr>
        <w:t>1089.61</w:t>
      </w:r>
      <w:r>
        <w:rPr>
          <w:rFonts w:eastAsia="方正仿宋_GBK"/>
          <w:color w:val="000000"/>
          <w:sz w:val="33"/>
          <w:szCs w:val="33"/>
        </w:rPr>
        <w:t>万元。与</w:t>
      </w:r>
      <w:r>
        <w:rPr>
          <w:rFonts w:hint="eastAsia" w:eastAsia="方正仿宋_GBK"/>
          <w:color w:val="000000"/>
          <w:sz w:val="33"/>
          <w:szCs w:val="33"/>
          <w:lang w:val="en-US" w:eastAsia="zh-CN"/>
        </w:rPr>
        <w:t>2019</w:t>
      </w:r>
      <w:r>
        <w:rPr>
          <w:rFonts w:eastAsia="方正仿宋_GBK"/>
          <w:color w:val="000000"/>
          <w:sz w:val="33"/>
          <w:szCs w:val="33"/>
        </w:rPr>
        <w:t>年相比，收入总计减少</w:t>
      </w:r>
      <w:r>
        <w:rPr>
          <w:rFonts w:hint="eastAsia" w:eastAsia="方正仿宋_GBK"/>
          <w:color w:val="000000"/>
          <w:sz w:val="33"/>
          <w:szCs w:val="33"/>
          <w:lang w:val="en-US" w:eastAsia="zh-CN"/>
        </w:rPr>
        <w:t>1241.34</w:t>
      </w:r>
      <w:r>
        <w:rPr>
          <w:rFonts w:eastAsia="方正仿宋_GBK"/>
          <w:color w:val="000000"/>
          <w:sz w:val="33"/>
          <w:szCs w:val="33"/>
        </w:rPr>
        <w:t>万元，减少</w:t>
      </w:r>
      <w:r>
        <w:rPr>
          <w:rFonts w:hint="eastAsia" w:eastAsia="方正仿宋_GBK"/>
          <w:color w:val="000000"/>
          <w:sz w:val="33"/>
          <w:szCs w:val="33"/>
          <w:lang w:val="en-US" w:eastAsia="zh-CN"/>
        </w:rPr>
        <w:t>12.22</w:t>
      </w:r>
      <w:r>
        <w:rPr>
          <w:rFonts w:eastAsia="方正仿宋_GBK"/>
          <w:color w:val="000000"/>
          <w:sz w:val="33"/>
          <w:szCs w:val="33"/>
        </w:rPr>
        <w:t>%。</w:t>
      </w:r>
      <w:r>
        <w:rPr>
          <w:rFonts w:hint="eastAsia" w:eastAsia="方正仿宋_GBK"/>
          <w:color w:val="000000"/>
          <w:sz w:val="33"/>
          <w:szCs w:val="33"/>
          <w:lang w:val="en-US" w:eastAsia="zh-CN"/>
        </w:rPr>
        <w:t>2020</w:t>
      </w:r>
      <w:r>
        <w:rPr>
          <w:rFonts w:eastAsia="方正仿宋_GBK"/>
          <w:color w:val="000000"/>
          <w:sz w:val="33"/>
          <w:szCs w:val="33"/>
        </w:rPr>
        <w:t>年度支出总计</w:t>
      </w:r>
      <w:r>
        <w:rPr>
          <w:rFonts w:hint="eastAsia" w:eastAsia="方正仿宋_GBK"/>
          <w:color w:val="000000"/>
          <w:sz w:val="33"/>
          <w:szCs w:val="33"/>
          <w:lang w:val="en-US" w:eastAsia="zh-CN"/>
        </w:rPr>
        <w:t>1215.66</w:t>
      </w:r>
      <w:r>
        <w:rPr>
          <w:rFonts w:eastAsia="方正仿宋_GBK"/>
          <w:color w:val="000000"/>
          <w:sz w:val="33"/>
          <w:szCs w:val="33"/>
        </w:rPr>
        <w:t>万元。与</w:t>
      </w:r>
      <w:r>
        <w:rPr>
          <w:rFonts w:hint="eastAsia" w:eastAsia="方正仿宋_GBK"/>
          <w:color w:val="000000"/>
          <w:sz w:val="33"/>
          <w:szCs w:val="33"/>
          <w:lang w:val="en-US" w:eastAsia="zh-CN"/>
        </w:rPr>
        <w:t>2019</w:t>
      </w:r>
      <w:r>
        <w:rPr>
          <w:rFonts w:eastAsia="方正仿宋_GBK"/>
          <w:color w:val="000000"/>
          <w:sz w:val="33"/>
          <w:szCs w:val="33"/>
        </w:rPr>
        <w:t>年</w:t>
      </w:r>
      <w:r>
        <w:rPr>
          <w:rFonts w:hint="eastAsia" w:eastAsia="方正仿宋_GBK"/>
          <w:color w:val="000000"/>
          <w:sz w:val="33"/>
          <w:szCs w:val="33"/>
          <w:lang w:val="en-US" w:eastAsia="zh-CN"/>
        </w:rPr>
        <w:t>1118.02万元</w:t>
      </w:r>
      <w:r>
        <w:rPr>
          <w:rFonts w:eastAsia="方正仿宋_GBK"/>
          <w:color w:val="000000"/>
          <w:sz w:val="33"/>
          <w:szCs w:val="33"/>
        </w:rPr>
        <w:t>相比，支出总计</w:t>
      </w:r>
      <w:r>
        <w:rPr>
          <w:rFonts w:hint="eastAsia" w:eastAsia="方正仿宋_GBK"/>
          <w:color w:val="000000"/>
          <w:sz w:val="33"/>
          <w:szCs w:val="33"/>
          <w:lang w:val="en-US" w:eastAsia="zh-CN"/>
        </w:rPr>
        <w:t>增加97.64</w:t>
      </w:r>
      <w:r>
        <w:rPr>
          <w:rFonts w:eastAsia="方正仿宋_GBK"/>
          <w:color w:val="000000"/>
          <w:sz w:val="33"/>
          <w:szCs w:val="33"/>
        </w:rPr>
        <w:t>万元，</w:t>
      </w:r>
      <w:r>
        <w:rPr>
          <w:rFonts w:hint="eastAsia" w:eastAsia="方正仿宋_GBK"/>
          <w:color w:val="000000"/>
          <w:sz w:val="33"/>
          <w:szCs w:val="33"/>
          <w:lang w:val="en-US" w:eastAsia="zh-CN"/>
        </w:rPr>
        <w:t>增加8.73</w:t>
      </w:r>
      <w:r>
        <w:rPr>
          <w:rFonts w:eastAsia="方正仿宋_GBK"/>
          <w:color w:val="000000"/>
          <w:sz w:val="33"/>
          <w:szCs w:val="33"/>
        </w:rPr>
        <w:t>%。</w:t>
      </w:r>
      <w:r>
        <w:rPr>
          <w:rFonts w:hint="eastAsia" w:eastAsia="方正仿宋_GBK"/>
          <w:color w:val="000000"/>
          <w:sz w:val="33"/>
          <w:szCs w:val="33"/>
          <w:lang w:val="en-US" w:eastAsia="zh-CN"/>
        </w:rPr>
        <w:t>收入</w:t>
      </w:r>
      <w:r>
        <w:rPr>
          <w:rFonts w:eastAsia="方正仿宋_GBK"/>
          <w:sz w:val="33"/>
          <w:szCs w:val="33"/>
        </w:rPr>
        <w:t>变动原因是</w:t>
      </w:r>
      <w:r>
        <w:rPr>
          <w:rFonts w:hint="eastAsia" w:eastAsia="方正仿宋_GBK"/>
          <w:sz w:val="33"/>
          <w:szCs w:val="33"/>
          <w:lang w:val="en-US" w:eastAsia="zh-CN"/>
        </w:rPr>
        <w:t>压减预算，支出变动原因是新增加2个项目，一是职业技能培训鉴定，二是抗疫国债支出</w:t>
      </w:r>
      <w:r>
        <w:rPr>
          <w:rFonts w:eastAsia="方正仿宋_GBK"/>
          <w:sz w:val="33"/>
          <w:szCs w:val="33"/>
        </w:rPr>
        <w:t>。</w:t>
      </w:r>
    </w:p>
    <w:p>
      <w:pPr>
        <w:ind w:firstLine="420" w:firstLineChars="200"/>
        <w:rPr>
          <w:rFonts w:ascii="仿宋" w:hAnsi="仿宋" w:eastAsia="仿宋"/>
          <w:sz w:val="32"/>
          <w:szCs w:val="32"/>
        </w:rPr>
      </w:pPr>
      <w:r>
        <w:drawing>
          <wp:inline distT="0" distB="0" distL="114300" distR="114300">
            <wp:extent cx="4572000" cy="2764790"/>
            <wp:effectExtent l="5080" t="4445" r="13970" b="12065"/>
            <wp:docPr id="143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：收、支决算总计变动情况图）（柱状图）</w:t>
      </w:r>
    </w:p>
    <w:p>
      <w:pPr>
        <w:pStyle w:val="24"/>
        <w:numPr>
          <w:ilvl w:val="0"/>
          <w:numId w:val="1"/>
        </w:numPr>
        <w:spacing w:line="590" w:lineRule="exact"/>
        <w:ind w:firstLineChars="0"/>
        <w:outlineLvl w:val="1"/>
        <w:rPr>
          <w:rStyle w:val="26"/>
          <w:rFonts w:ascii="方正楷体_GBK" w:hAnsi="黑体" w:eastAsia="方正楷体_GBK"/>
          <w:b w:val="0"/>
        </w:rPr>
      </w:pPr>
      <w:bookmarkStart w:id="34" w:name="_Toc49412319"/>
      <w:bookmarkStart w:id="35" w:name="_Toc15396604"/>
      <w:bookmarkStart w:id="36" w:name="_Toc15377206"/>
      <w:r>
        <w:rPr>
          <w:rFonts w:hint="eastAsia" w:ascii="方正楷体_GBK" w:hAnsi="黑体" w:eastAsia="方正楷体_GBK"/>
          <w:b/>
          <w:color w:val="000000"/>
          <w:sz w:val="32"/>
          <w:szCs w:val="32"/>
        </w:rPr>
        <w:t>收</w:t>
      </w:r>
      <w:r>
        <w:rPr>
          <w:rStyle w:val="26"/>
          <w:rFonts w:hint="eastAsia" w:ascii="方正楷体_GBK" w:hAnsi="黑体" w:eastAsia="方正楷体_GBK"/>
          <w:b w:val="0"/>
        </w:rPr>
        <w:t>入决算情况说明</w:t>
      </w:r>
      <w:bookmarkEnd w:id="34"/>
      <w:bookmarkEnd w:id="35"/>
      <w:bookmarkEnd w:id="36"/>
    </w:p>
    <w:p>
      <w:pPr>
        <w:spacing w:line="590" w:lineRule="exact"/>
        <w:ind w:firstLine="660" w:firstLineChars="200"/>
        <w:rPr>
          <w:rFonts w:ascii="仿宋" w:hAnsi="仿宋" w:eastAsia="仿宋"/>
          <w:color w:val="000000"/>
          <w:sz w:val="32"/>
          <w:szCs w:val="32"/>
        </w:rPr>
      </w:pPr>
      <w:r>
        <w:rPr>
          <w:rFonts w:hint="eastAsia" w:eastAsia="方正仿宋_GBK"/>
          <w:color w:val="000000"/>
          <w:sz w:val="33"/>
          <w:szCs w:val="33"/>
          <w:lang w:val="en-US" w:eastAsia="zh-CN"/>
        </w:rPr>
        <w:t>2020</w:t>
      </w:r>
      <w:r>
        <w:rPr>
          <w:rFonts w:hint="eastAsia" w:eastAsia="方正仿宋_GBK"/>
          <w:color w:val="000000"/>
          <w:sz w:val="33"/>
          <w:szCs w:val="33"/>
        </w:rPr>
        <w:t>年本年收入合计</w:t>
      </w:r>
      <w:r>
        <w:rPr>
          <w:rFonts w:hint="eastAsia" w:eastAsia="方正仿宋_GBK"/>
          <w:color w:val="000000"/>
          <w:sz w:val="33"/>
          <w:szCs w:val="33"/>
          <w:lang w:val="en-US" w:eastAsia="zh-CN"/>
        </w:rPr>
        <w:t>1089.61</w:t>
      </w:r>
      <w:r>
        <w:rPr>
          <w:rFonts w:hint="eastAsia" w:eastAsia="方正仿宋_GBK"/>
          <w:color w:val="000000"/>
          <w:sz w:val="33"/>
          <w:szCs w:val="33"/>
        </w:rPr>
        <w:t>万元，其中：一般公共预算财政拨款收入</w:t>
      </w:r>
      <w:r>
        <w:rPr>
          <w:rFonts w:hint="eastAsia" w:eastAsia="方正仿宋_GBK"/>
          <w:color w:val="000000"/>
          <w:sz w:val="33"/>
          <w:szCs w:val="33"/>
          <w:lang w:val="en-US" w:eastAsia="zh-CN"/>
        </w:rPr>
        <w:t>474.63</w:t>
      </w:r>
      <w:r>
        <w:rPr>
          <w:rFonts w:hint="eastAsia" w:eastAsia="方正仿宋_GBK"/>
          <w:color w:val="000000"/>
          <w:sz w:val="33"/>
          <w:szCs w:val="33"/>
        </w:rPr>
        <w:t>万元，占</w:t>
      </w:r>
      <w:r>
        <w:rPr>
          <w:rFonts w:hint="eastAsia" w:eastAsia="方正仿宋_GBK"/>
          <w:color w:val="000000"/>
          <w:sz w:val="33"/>
          <w:szCs w:val="33"/>
          <w:lang w:val="en-US" w:eastAsia="zh-CN"/>
        </w:rPr>
        <w:t>44</w:t>
      </w:r>
      <w:r>
        <w:rPr>
          <w:rFonts w:eastAsia="方正仿宋_GBK"/>
          <w:color w:val="000000"/>
          <w:sz w:val="33"/>
          <w:szCs w:val="33"/>
        </w:rPr>
        <w:t>%</w:t>
      </w:r>
      <w:r>
        <w:rPr>
          <w:rFonts w:hint="eastAsia" w:eastAsia="方正仿宋_GBK"/>
          <w:color w:val="000000"/>
          <w:sz w:val="33"/>
          <w:szCs w:val="33"/>
        </w:rPr>
        <w:t>；政府性基金预算财政拨款收入</w:t>
      </w:r>
      <w:r>
        <w:rPr>
          <w:rFonts w:hint="eastAsia" w:eastAsia="方正仿宋_GBK"/>
          <w:color w:val="000000"/>
          <w:sz w:val="33"/>
          <w:szCs w:val="33"/>
          <w:lang w:val="en-US" w:eastAsia="zh-CN"/>
        </w:rPr>
        <w:t>614.98</w:t>
      </w:r>
      <w:r>
        <w:rPr>
          <w:rFonts w:hint="eastAsia" w:eastAsia="方正仿宋_GBK"/>
          <w:color w:val="000000"/>
          <w:sz w:val="33"/>
          <w:szCs w:val="33"/>
        </w:rPr>
        <w:t>万元，占</w:t>
      </w:r>
      <w:r>
        <w:rPr>
          <w:rFonts w:hint="eastAsia" w:eastAsia="方正仿宋_GBK"/>
          <w:color w:val="000000"/>
          <w:sz w:val="33"/>
          <w:szCs w:val="33"/>
          <w:lang w:val="en-US" w:eastAsia="zh-CN"/>
        </w:rPr>
        <w:t>56</w:t>
      </w:r>
      <w:r>
        <w:rPr>
          <w:rFonts w:eastAsia="方正仿宋_GBK"/>
          <w:color w:val="000000"/>
          <w:sz w:val="33"/>
          <w:szCs w:val="33"/>
        </w:rPr>
        <w:t>%</w:t>
      </w:r>
      <w:r>
        <w:rPr>
          <w:rFonts w:hint="eastAsia" w:eastAsia="方正仿宋_GBK"/>
          <w:color w:val="000000"/>
          <w:sz w:val="33"/>
          <w:szCs w:val="33"/>
        </w:rPr>
        <w:t>；上级补助收入0万元，占0</w:t>
      </w:r>
      <w:r>
        <w:rPr>
          <w:rFonts w:eastAsia="方正仿宋_GBK"/>
          <w:color w:val="000000"/>
          <w:sz w:val="33"/>
          <w:szCs w:val="33"/>
        </w:rPr>
        <w:t>%</w:t>
      </w:r>
      <w:r>
        <w:rPr>
          <w:rFonts w:hint="eastAsia" w:eastAsia="方正仿宋_GBK"/>
          <w:color w:val="000000"/>
          <w:sz w:val="33"/>
          <w:szCs w:val="33"/>
        </w:rPr>
        <w:t>；事业收入0万元，占0</w:t>
      </w:r>
      <w:r>
        <w:rPr>
          <w:rFonts w:eastAsia="方正仿宋_GBK"/>
          <w:color w:val="000000"/>
          <w:sz w:val="33"/>
          <w:szCs w:val="33"/>
        </w:rPr>
        <w:t>%</w:t>
      </w:r>
      <w:r>
        <w:rPr>
          <w:rFonts w:hint="eastAsia" w:eastAsia="方正仿宋_GBK"/>
          <w:color w:val="000000"/>
          <w:sz w:val="33"/>
          <w:szCs w:val="33"/>
        </w:rPr>
        <w:t>；经营收入0万元，占0</w:t>
      </w:r>
      <w:r>
        <w:rPr>
          <w:rFonts w:eastAsia="方正仿宋_GBK"/>
          <w:color w:val="000000"/>
          <w:sz w:val="33"/>
          <w:szCs w:val="33"/>
        </w:rPr>
        <w:t>%</w:t>
      </w:r>
      <w:r>
        <w:rPr>
          <w:rFonts w:hint="eastAsia" w:eastAsia="方正仿宋_GBK"/>
          <w:color w:val="000000"/>
          <w:sz w:val="33"/>
          <w:szCs w:val="33"/>
        </w:rPr>
        <w:t>；附属单位上缴收入0万元，占0</w:t>
      </w:r>
      <w:r>
        <w:rPr>
          <w:rFonts w:eastAsia="方正仿宋_GBK"/>
          <w:color w:val="000000"/>
          <w:sz w:val="33"/>
          <w:szCs w:val="33"/>
        </w:rPr>
        <w:t>%</w:t>
      </w:r>
      <w:r>
        <w:rPr>
          <w:rFonts w:hint="eastAsia" w:eastAsia="方正仿宋_GBK"/>
          <w:color w:val="000000"/>
          <w:sz w:val="33"/>
          <w:szCs w:val="33"/>
        </w:rPr>
        <w:t>；其他收入0万元，占0</w:t>
      </w:r>
      <w:r>
        <w:rPr>
          <w:rFonts w:eastAsia="方正仿宋_GBK"/>
          <w:color w:val="000000"/>
          <w:sz w:val="33"/>
          <w:szCs w:val="33"/>
        </w:rPr>
        <w:t>%</w:t>
      </w:r>
      <w:r>
        <w:rPr>
          <w:rFonts w:hint="eastAsia" w:eastAsia="方正仿宋_GBK"/>
          <w:color w:val="000000"/>
          <w:sz w:val="33"/>
          <w:szCs w:val="33"/>
        </w:rPr>
        <w:t>。</w:t>
      </w:r>
    </w:p>
    <w:p>
      <w:pPr>
        <w:rPr>
          <w:rFonts w:ascii="仿宋" w:hAnsi="仿宋" w:eastAsia="仿宋"/>
          <w:color w:val="000000"/>
          <w:sz w:val="32"/>
          <w:szCs w:val="32"/>
        </w:rPr>
      </w:pPr>
      <w:r>
        <w:drawing>
          <wp:inline distT="0" distB="0" distL="114300" distR="114300">
            <wp:extent cx="4810125" cy="3389630"/>
            <wp:effectExtent l="4445" t="4445" r="5080" b="15875"/>
            <wp:docPr id="142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rPr>
          <w:rFonts w:ascii="仿宋" w:hAnsi="仿宋" w:eastAsia="仿宋"/>
          <w:color w:val="000000" w:themeColor="text1"/>
          <w:sz w:val="32"/>
          <w:szCs w:val="32"/>
        </w:rPr>
      </w:pPr>
      <w:r>
        <w:rPr>
          <w:rFonts w:hint="eastAsia" w:ascii="仿宋" w:hAnsi="仿宋" w:eastAsia="仿宋"/>
          <w:color w:val="000000" w:themeColor="text1"/>
          <w:sz w:val="32"/>
          <w:szCs w:val="32"/>
        </w:rPr>
        <w:t>（图2：收入决算结构图）（饼状图）</w:t>
      </w:r>
    </w:p>
    <w:p>
      <w:pPr>
        <w:pStyle w:val="24"/>
        <w:numPr>
          <w:ilvl w:val="0"/>
          <w:numId w:val="1"/>
        </w:numPr>
        <w:ind w:firstLineChars="0"/>
        <w:outlineLvl w:val="1"/>
        <w:rPr>
          <w:rStyle w:val="26"/>
          <w:rFonts w:ascii="方正楷体_GBK" w:hAnsi="黑体" w:eastAsia="方正楷体_GBK"/>
          <w:b w:val="0"/>
        </w:rPr>
      </w:pPr>
      <w:bookmarkStart w:id="37" w:name="_Toc15377207"/>
      <w:bookmarkStart w:id="38" w:name="_Toc49412320"/>
      <w:bookmarkStart w:id="39" w:name="_Toc15396605"/>
      <w:r>
        <w:rPr>
          <w:rFonts w:hint="eastAsia" w:ascii="方正楷体_GBK" w:hAnsi="黑体" w:eastAsia="方正楷体_GBK"/>
          <w:b/>
          <w:color w:val="000000"/>
          <w:sz w:val="32"/>
          <w:szCs w:val="32"/>
        </w:rPr>
        <w:t>支</w:t>
      </w:r>
      <w:r>
        <w:rPr>
          <w:rStyle w:val="26"/>
          <w:rFonts w:hint="eastAsia" w:ascii="方正楷体_GBK" w:hAnsi="黑体" w:eastAsia="方正楷体_GBK"/>
          <w:b w:val="0"/>
        </w:rPr>
        <w:t>出决算情况说明</w:t>
      </w:r>
      <w:bookmarkEnd w:id="37"/>
      <w:bookmarkEnd w:id="38"/>
      <w:bookmarkEnd w:id="39"/>
    </w:p>
    <w:p>
      <w:pPr>
        <w:spacing w:line="590" w:lineRule="exact"/>
        <w:ind w:firstLine="660" w:firstLineChars="200"/>
        <w:rPr>
          <w:rFonts w:eastAsia="方正仿宋_GBK"/>
          <w:color w:val="000000"/>
          <w:sz w:val="33"/>
          <w:szCs w:val="33"/>
        </w:rPr>
      </w:pPr>
      <w:r>
        <w:rPr>
          <w:rFonts w:hint="eastAsia" w:eastAsia="方正仿宋_GBK"/>
          <w:color w:val="000000"/>
          <w:sz w:val="33"/>
          <w:szCs w:val="33"/>
          <w:lang w:val="en-US" w:eastAsia="zh-CN"/>
        </w:rPr>
        <w:t>2020</w:t>
      </w:r>
      <w:r>
        <w:rPr>
          <w:rFonts w:hint="eastAsia" w:eastAsia="方正仿宋_GBK"/>
          <w:color w:val="000000"/>
          <w:sz w:val="33"/>
          <w:szCs w:val="33"/>
        </w:rPr>
        <w:t>年本年支出合计</w:t>
      </w:r>
      <w:r>
        <w:rPr>
          <w:rFonts w:hint="eastAsia" w:eastAsia="方正仿宋_GBK"/>
          <w:color w:val="000000"/>
          <w:sz w:val="33"/>
          <w:szCs w:val="33"/>
          <w:lang w:val="en-US" w:eastAsia="zh-CN"/>
        </w:rPr>
        <w:t>1215.66</w:t>
      </w:r>
      <w:r>
        <w:rPr>
          <w:rFonts w:hint="eastAsia" w:eastAsia="方正仿宋_GBK"/>
          <w:color w:val="000000"/>
          <w:sz w:val="33"/>
          <w:szCs w:val="33"/>
        </w:rPr>
        <w:t>万元，其中：基本支出</w:t>
      </w:r>
      <w:r>
        <w:rPr>
          <w:rFonts w:hint="eastAsia" w:eastAsia="方正仿宋_GBK"/>
          <w:color w:val="000000"/>
          <w:sz w:val="33"/>
          <w:szCs w:val="33"/>
          <w:lang w:val="en-US" w:eastAsia="zh-CN"/>
        </w:rPr>
        <w:t>600.68</w:t>
      </w:r>
      <w:r>
        <w:rPr>
          <w:rFonts w:hint="eastAsia" w:eastAsia="方正仿宋_GBK"/>
          <w:color w:val="000000"/>
          <w:sz w:val="33"/>
          <w:szCs w:val="33"/>
        </w:rPr>
        <w:t>万元，占</w:t>
      </w:r>
      <w:r>
        <w:rPr>
          <w:rFonts w:hint="eastAsia" w:eastAsia="方正仿宋_GBK"/>
          <w:color w:val="000000"/>
          <w:sz w:val="33"/>
          <w:szCs w:val="33"/>
          <w:lang w:val="en-US" w:eastAsia="zh-CN"/>
        </w:rPr>
        <w:t>49</w:t>
      </w:r>
      <w:r>
        <w:rPr>
          <w:rFonts w:eastAsia="方正仿宋_GBK"/>
          <w:color w:val="000000"/>
          <w:sz w:val="33"/>
          <w:szCs w:val="33"/>
        </w:rPr>
        <w:t>%</w:t>
      </w:r>
      <w:r>
        <w:rPr>
          <w:rFonts w:hint="eastAsia" w:eastAsia="方正仿宋_GBK"/>
          <w:color w:val="000000"/>
          <w:sz w:val="33"/>
          <w:szCs w:val="33"/>
        </w:rPr>
        <w:t>；项目支出</w:t>
      </w:r>
      <w:r>
        <w:rPr>
          <w:rFonts w:hint="eastAsia" w:eastAsia="方正仿宋_GBK"/>
          <w:color w:val="000000"/>
          <w:sz w:val="33"/>
          <w:szCs w:val="33"/>
          <w:lang w:val="en-US" w:eastAsia="zh-CN"/>
        </w:rPr>
        <w:t>614.98</w:t>
      </w:r>
      <w:r>
        <w:rPr>
          <w:rFonts w:hint="eastAsia" w:eastAsia="方正仿宋_GBK"/>
          <w:color w:val="000000"/>
          <w:sz w:val="33"/>
          <w:szCs w:val="33"/>
        </w:rPr>
        <w:t>万元，占</w:t>
      </w:r>
      <w:r>
        <w:rPr>
          <w:rFonts w:hint="eastAsia" w:eastAsia="方正仿宋_GBK"/>
          <w:color w:val="000000"/>
          <w:sz w:val="33"/>
          <w:szCs w:val="33"/>
          <w:lang w:val="en-US" w:eastAsia="zh-CN"/>
        </w:rPr>
        <w:t>51</w:t>
      </w:r>
      <w:r>
        <w:rPr>
          <w:rFonts w:eastAsia="方正仿宋_GBK"/>
          <w:color w:val="000000"/>
          <w:sz w:val="33"/>
          <w:szCs w:val="33"/>
        </w:rPr>
        <w:t>%</w:t>
      </w:r>
      <w:r>
        <w:rPr>
          <w:rFonts w:hint="eastAsia" w:eastAsia="方正仿宋_GBK"/>
          <w:color w:val="000000"/>
          <w:sz w:val="33"/>
          <w:szCs w:val="33"/>
        </w:rPr>
        <w:t>；上缴上级支出0万元，占0</w:t>
      </w:r>
      <w:r>
        <w:rPr>
          <w:rFonts w:eastAsia="方正仿宋_GBK"/>
          <w:color w:val="000000"/>
          <w:sz w:val="33"/>
          <w:szCs w:val="33"/>
        </w:rPr>
        <w:t>%</w:t>
      </w:r>
      <w:r>
        <w:rPr>
          <w:rFonts w:hint="eastAsia" w:eastAsia="方正仿宋_GBK"/>
          <w:color w:val="000000"/>
          <w:sz w:val="33"/>
          <w:szCs w:val="33"/>
        </w:rPr>
        <w:t>；经营支出0万元，占0</w:t>
      </w:r>
      <w:r>
        <w:rPr>
          <w:rFonts w:eastAsia="方正仿宋_GBK"/>
          <w:color w:val="000000"/>
          <w:sz w:val="33"/>
          <w:szCs w:val="33"/>
        </w:rPr>
        <w:t>%</w:t>
      </w:r>
      <w:r>
        <w:rPr>
          <w:rFonts w:hint="eastAsia" w:eastAsia="方正仿宋_GBK"/>
          <w:color w:val="000000"/>
          <w:sz w:val="33"/>
          <w:szCs w:val="33"/>
        </w:rPr>
        <w:t>；对附属单位补助支出0万元，占0</w:t>
      </w:r>
      <w:r>
        <w:rPr>
          <w:rFonts w:eastAsia="方正仿宋_GBK"/>
          <w:color w:val="000000"/>
          <w:sz w:val="33"/>
          <w:szCs w:val="33"/>
        </w:rPr>
        <w:t>%</w:t>
      </w:r>
      <w:r>
        <w:rPr>
          <w:rFonts w:hint="eastAsia" w:eastAsia="方正仿宋_GBK"/>
          <w:color w:val="000000"/>
          <w:sz w:val="33"/>
          <w:szCs w:val="33"/>
        </w:rPr>
        <w:t>。</w:t>
      </w:r>
    </w:p>
    <w:p>
      <w:pPr>
        <w:rPr>
          <w:rFonts w:ascii="仿宋" w:hAnsi="仿宋" w:eastAsia="仿宋"/>
          <w:color w:val="000000"/>
          <w:sz w:val="32"/>
          <w:szCs w:val="32"/>
        </w:rPr>
      </w:pPr>
      <w:r>
        <w:drawing>
          <wp:inline distT="0" distB="0" distL="114300" distR="114300">
            <wp:extent cx="4572000" cy="2734310"/>
            <wp:effectExtent l="4445" t="4445" r="14605" b="23495"/>
            <wp:docPr id="143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rPr>
          <w:rFonts w:ascii="仿宋" w:hAnsi="仿宋" w:eastAsia="仿宋"/>
          <w:color w:val="000000" w:themeColor="text1"/>
          <w:sz w:val="32"/>
          <w:szCs w:val="32"/>
        </w:rPr>
      </w:pPr>
      <w:r>
        <w:rPr>
          <w:rFonts w:hint="eastAsia" w:ascii="仿宋" w:hAnsi="仿宋" w:eastAsia="仿宋"/>
          <w:color w:val="000000" w:themeColor="text1"/>
          <w:sz w:val="32"/>
          <w:szCs w:val="32"/>
        </w:rPr>
        <w:t>（图3：支出决算结构图）（饼状图）</w:t>
      </w:r>
    </w:p>
    <w:p>
      <w:pPr>
        <w:ind w:firstLine="643" w:firstLineChars="200"/>
        <w:outlineLvl w:val="1"/>
        <w:rPr>
          <w:rStyle w:val="26"/>
          <w:rFonts w:ascii="方正楷体_GBK" w:hAnsi="黑体" w:eastAsia="方正楷体_GBK"/>
          <w:b w:val="0"/>
        </w:rPr>
      </w:pPr>
      <w:bookmarkStart w:id="40" w:name="_Toc15396606"/>
      <w:bookmarkStart w:id="41" w:name="_Toc49412321"/>
      <w:bookmarkStart w:id="42" w:name="_Toc15377208"/>
      <w:r>
        <w:rPr>
          <w:rFonts w:hint="eastAsia" w:ascii="方正楷体_GBK" w:hAnsi="黑体" w:eastAsia="方正楷体_GBK"/>
          <w:b/>
          <w:color w:val="000000"/>
          <w:sz w:val="32"/>
          <w:szCs w:val="32"/>
        </w:rPr>
        <w:t>四、财</w:t>
      </w:r>
      <w:r>
        <w:rPr>
          <w:rStyle w:val="26"/>
          <w:rFonts w:hint="eastAsia" w:ascii="方正楷体_GBK" w:hAnsi="黑体" w:eastAsia="方正楷体_GBK"/>
          <w:b w:val="0"/>
        </w:rPr>
        <w:t>政拨款收入支出决算总体情况说明</w:t>
      </w:r>
      <w:bookmarkEnd w:id="40"/>
      <w:bookmarkEnd w:id="41"/>
      <w:bookmarkEnd w:id="42"/>
    </w:p>
    <w:p>
      <w:pPr>
        <w:spacing w:line="590" w:lineRule="exact"/>
        <w:ind w:firstLine="660" w:firstLineChars="200"/>
        <w:rPr>
          <w:rFonts w:ascii="仿宋" w:hAnsi="仿宋" w:eastAsia="仿宋"/>
          <w:sz w:val="32"/>
          <w:szCs w:val="32"/>
        </w:rPr>
      </w:pPr>
      <w:r>
        <w:rPr>
          <w:rFonts w:hint="eastAsia" w:eastAsia="方正仿宋_GBK"/>
          <w:color w:val="000000"/>
          <w:sz w:val="33"/>
          <w:szCs w:val="33"/>
          <w:lang w:val="en-US" w:eastAsia="zh-CN"/>
        </w:rPr>
        <w:t>2020</w:t>
      </w:r>
      <w:r>
        <w:rPr>
          <w:rFonts w:hint="eastAsia" w:eastAsia="方正仿宋_GBK"/>
          <w:color w:val="000000"/>
          <w:sz w:val="33"/>
          <w:szCs w:val="33"/>
        </w:rPr>
        <w:t>年度财政拨款收入总计</w:t>
      </w:r>
      <w:r>
        <w:rPr>
          <w:rFonts w:hint="eastAsia" w:eastAsia="方正仿宋_GBK"/>
          <w:color w:val="000000"/>
          <w:sz w:val="33"/>
          <w:szCs w:val="33"/>
          <w:lang w:val="en-US" w:eastAsia="zh-CN"/>
        </w:rPr>
        <w:t>1089.63</w:t>
      </w:r>
      <w:r>
        <w:rPr>
          <w:rFonts w:hint="eastAsia" w:eastAsia="方正仿宋_GBK"/>
          <w:color w:val="000000"/>
          <w:sz w:val="33"/>
          <w:szCs w:val="33"/>
        </w:rPr>
        <w:t>万元。与</w:t>
      </w:r>
      <w:r>
        <w:rPr>
          <w:rFonts w:hint="eastAsia" w:eastAsia="方正仿宋_GBK"/>
          <w:color w:val="000000"/>
          <w:sz w:val="33"/>
          <w:szCs w:val="33"/>
          <w:lang w:val="en-US" w:eastAsia="zh-CN"/>
        </w:rPr>
        <w:t>2019</w:t>
      </w:r>
      <w:r>
        <w:rPr>
          <w:rFonts w:hint="eastAsia" w:eastAsia="方正仿宋_GBK"/>
          <w:color w:val="000000"/>
          <w:sz w:val="33"/>
          <w:szCs w:val="33"/>
        </w:rPr>
        <w:t>年</w:t>
      </w:r>
      <w:r>
        <w:rPr>
          <w:rFonts w:hint="eastAsia" w:eastAsia="方正仿宋_GBK"/>
          <w:color w:val="000000"/>
          <w:sz w:val="33"/>
          <w:szCs w:val="33"/>
          <w:lang w:val="en-US" w:eastAsia="zh-CN"/>
        </w:rPr>
        <w:t>1241.34万元</w:t>
      </w:r>
      <w:r>
        <w:rPr>
          <w:rFonts w:hint="eastAsia" w:eastAsia="方正仿宋_GBK"/>
          <w:color w:val="000000"/>
          <w:sz w:val="33"/>
          <w:szCs w:val="33"/>
        </w:rPr>
        <w:t>相比，财政拨款收入总计减少</w:t>
      </w:r>
      <w:r>
        <w:rPr>
          <w:rFonts w:hint="eastAsia" w:eastAsia="方正仿宋_GBK"/>
          <w:color w:val="000000"/>
          <w:sz w:val="33"/>
          <w:szCs w:val="33"/>
          <w:lang w:val="en-US" w:eastAsia="zh-CN"/>
        </w:rPr>
        <w:t>151.71</w:t>
      </w:r>
      <w:r>
        <w:rPr>
          <w:rFonts w:hint="eastAsia" w:eastAsia="方正仿宋_GBK"/>
          <w:color w:val="000000"/>
          <w:sz w:val="33"/>
          <w:szCs w:val="33"/>
        </w:rPr>
        <w:t>万元，减少</w:t>
      </w:r>
      <w:r>
        <w:rPr>
          <w:rFonts w:hint="eastAsia" w:eastAsia="方正仿宋_GBK"/>
          <w:color w:val="000000"/>
          <w:sz w:val="33"/>
          <w:szCs w:val="33"/>
          <w:lang w:val="en-US" w:eastAsia="zh-CN"/>
        </w:rPr>
        <w:t>12.22</w:t>
      </w:r>
      <w:r>
        <w:rPr>
          <w:rFonts w:eastAsia="方正仿宋_GBK"/>
          <w:color w:val="000000"/>
          <w:sz w:val="33"/>
          <w:szCs w:val="33"/>
        </w:rPr>
        <w:t>%</w:t>
      </w:r>
      <w:r>
        <w:rPr>
          <w:rFonts w:hint="eastAsia" w:eastAsia="方正仿宋_GBK"/>
          <w:color w:val="000000"/>
          <w:sz w:val="33"/>
          <w:szCs w:val="33"/>
        </w:rPr>
        <w:t>。</w:t>
      </w:r>
      <w:r>
        <w:rPr>
          <w:rFonts w:hint="eastAsia" w:eastAsia="方正仿宋_GBK"/>
          <w:color w:val="000000"/>
          <w:sz w:val="33"/>
          <w:szCs w:val="33"/>
          <w:lang w:val="en-US" w:eastAsia="zh-CN"/>
        </w:rPr>
        <w:t>2020</w:t>
      </w:r>
      <w:r>
        <w:rPr>
          <w:rFonts w:hint="eastAsia" w:eastAsia="方正仿宋_GBK"/>
          <w:color w:val="000000"/>
          <w:sz w:val="33"/>
          <w:szCs w:val="33"/>
        </w:rPr>
        <w:t>年度财政拨款支出总计</w:t>
      </w:r>
      <w:r>
        <w:rPr>
          <w:rFonts w:hint="eastAsia" w:eastAsia="方正仿宋_GBK"/>
          <w:color w:val="000000"/>
          <w:sz w:val="33"/>
          <w:szCs w:val="33"/>
          <w:lang w:val="en-US" w:eastAsia="zh-CN"/>
        </w:rPr>
        <w:t>1215.66</w:t>
      </w:r>
      <w:r>
        <w:rPr>
          <w:rFonts w:hint="eastAsia" w:eastAsia="方正仿宋_GBK"/>
          <w:color w:val="000000"/>
          <w:sz w:val="33"/>
          <w:szCs w:val="33"/>
        </w:rPr>
        <w:t>万元。与201</w:t>
      </w:r>
      <w:r>
        <w:rPr>
          <w:rFonts w:hint="eastAsia" w:eastAsia="方正仿宋_GBK"/>
          <w:color w:val="000000"/>
          <w:sz w:val="33"/>
          <w:szCs w:val="33"/>
          <w:lang w:val="en-US" w:eastAsia="zh-CN"/>
        </w:rPr>
        <w:t>9</w:t>
      </w:r>
      <w:r>
        <w:rPr>
          <w:rFonts w:hint="eastAsia" w:eastAsia="方正仿宋_GBK"/>
          <w:color w:val="000000"/>
          <w:sz w:val="33"/>
          <w:szCs w:val="33"/>
        </w:rPr>
        <w:t>年</w:t>
      </w:r>
      <w:r>
        <w:rPr>
          <w:rFonts w:hint="eastAsia" w:eastAsia="方正仿宋_GBK"/>
          <w:color w:val="000000"/>
          <w:sz w:val="33"/>
          <w:szCs w:val="33"/>
          <w:lang w:val="en-US" w:eastAsia="zh-CN"/>
        </w:rPr>
        <w:t>1118.02万元</w:t>
      </w:r>
      <w:r>
        <w:rPr>
          <w:rFonts w:hint="eastAsia" w:eastAsia="方正仿宋_GBK"/>
          <w:color w:val="000000"/>
          <w:sz w:val="33"/>
          <w:szCs w:val="33"/>
        </w:rPr>
        <w:t>相比，财政拨款支出总计</w:t>
      </w:r>
      <w:r>
        <w:rPr>
          <w:rFonts w:hint="eastAsia" w:eastAsia="方正仿宋_GBK"/>
          <w:color w:val="000000"/>
          <w:sz w:val="33"/>
          <w:szCs w:val="33"/>
          <w:lang w:val="en-US" w:eastAsia="zh-CN"/>
        </w:rPr>
        <w:t>增加97.64</w:t>
      </w:r>
      <w:r>
        <w:rPr>
          <w:rFonts w:hint="eastAsia" w:eastAsia="方正仿宋_GBK"/>
          <w:color w:val="000000"/>
          <w:sz w:val="33"/>
          <w:szCs w:val="33"/>
        </w:rPr>
        <w:t>万元，</w:t>
      </w:r>
      <w:r>
        <w:rPr>
          <w:rFonts w:hint="eastAsia" w:eastAsia="方正仿宋_GBK"/>
          <w:color w:val="000000"/>
          <w:sz w:val="33"/>
          <w:szCs w:val="33"/>
          <w:lang w:val="en-US" w:eastAsia="zh-CN"/>
        </w:rPr>
        <w:t>增加8.73</w:t>
      </w:r>
      <w:r>
        <w:rPr>
          <w:rFonts w:eastAsia="方正仿宋_GBK"/>
          <w:color w:val="000000"/>
          <w:sz w:val="33"/>
          <w:szCs w:val="33"/>
        </w:rPr>
        <w:t>%</w:t>
      </w:r>
      <w:r>
        <w:rPr>
          <w:rFonts w:hint="eastAsia" w:eastAsia="方正仿宋_GBK"/>
          <w:color w:val="000000"/>
          <w:sz w:val="33"/>
          <w:szCs w:val="33"/>
        </w:rPr>
        <w:t>。</w:t>
      </w:r>
      <w:r>
        <w:rPr>
          <w:rFonts w:hint="eastAsia" w:eastAsia="方正仿宋_GBK"/>
          <w:color w:val="000000"/>
          <w:sz w:val="33"/>
          <w:szCs w:val="33"/>
          <w:lang w:val="en-US" w:eastAsia="zh-CN"/>
        </w:rPr>
        <w:t>收入</w:t>
      </w:r>
      <w:r>
        <w:rPr>
          <w:rFonts w:eastAsia="方正仿宋_GBK"/>
          <w:sz w:val="33"/>
          <w:szCs w:val="33"/>
        </w:rPr>
        <w:t>变动原因是</w:t>
      </w:r>
      <w:r>
        <w:rPr>
          <w:rFonts w:hint="eastAsia" w:eastAsia="方正仿宋_GBK"/>
          <w:sz w:val="33"/>
          <w:szCs w:val="33"/>
          <w:lang w:val="en-US" w:eastAsia="zh-CN"/>
        </w:rPr>
        <w:t>压减预算，支出变动原因是新增加2个项目，一是职业技能培训鉴定，二是抗疫国债支出</w:t>
      </w:r>
      <w:r>
        <w:rPr>
          <w:rFonts w:eastAsia="方正仿宋_GBK"/>
          <w:sz w:val="33"/>
          <w:szCs w:val="33"/>
        </w:rPr>
        <w:t>。</w:t>
      </w:r>
    </w:p>
    <w:p>
      <w:pPr>
        <w:rPr>
          <w:rFonts w:ascii="仿宋" w:hAnsi="仿宋" w:eastAsia="仿宋"/>
          <w:color w:val="000000"/>
          <w:sz w:val="32"/>
          <w:szCs w:val="32"/>
        </w:rPr>
      </w:pPr>
      <w:r>
        <w:drawing>
          <wp:inline distT="0" distB="0" distL="114300" distR="114300">
            <wp:extent cx="4848225" cy="2734945"/>
            <wp:effectExtent l="4445" t="4445" r="5080" b="22860"/>
            <wp:docPr id="142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（图4：财政拨款收、支决算总计变动情况）（柱状图）</w:t>
      </w:r>
    </w:p>
    <w:p>
      <w:pPr>
        <w:tabs>
          <w:tab w:val="right" w:pos="8306"/>
        </w:tabs>
        <w:ind w:firstLine="640"/>
        <w:outlineLvl w:val="1"/>
        <w:rPr>
          <w:rFonts w:ascii="方正楷体_GBK" w:eastAsia="方正楷体_GBK"/>
          <w:b/>
          <w:color w:val="000000"/>
          <w:sz w:val="33"/>
          <w:szCs w:val="33"/>
        </w:rPr>
      </w:pPr>
      <w:bookmarkStart w:id="43" w:name="_Toc15377209"/>
      <w:bookmarkStart w:id="44" w:name="_Toc15396607"/>
      <w:bookmarkStart w:id="45" w:name="_Toc49412322"/>
      <w:r>
        <w:rPr>
          <w:rFonts w:hint="eastAsia" w:ascii="方正楷体_GBK" w:eastAsia="方正楷体_GBK"/>
          <w:b/>
          <w:color w:val="000000"/>
          <w:sz w:val="33"/>
          <w:szCs w:val="33"/>
        </w:rPr>
        <w:t>五、一般公共预算财政拨款支出决算情况说明</w:t>
      </w:r>
      <w:bookmarkEnd w:id="43"/>
      <w:bookmarkEnd w:id="44"/>
      <w:bookmarkEnd w:id="45"/>
    </w:p>
    <w:p>
      <w:pPr>
        <w:ind w:firstLine="663" w:firstLineChars="200"/>
        <w:outlineLvl w:val="2"/>
        <w:rPr>
          <w:rFonts w:eastAsia="方正仿宋_GBK"/>
          <w:b/>
          <w:color w:val="000000"/>
          <w:sz w:val="33"/>
          <w:szCs w:val="33"/>
        </w:rPr>
      </w:pPr>
      <w:bookmarkStart w:id="46" w:name="_Toc15377210"/>
      <w:bookmarkStart w:id="47" w:name="_Toc49412323"/>
      <w:r>
        <w:rPr>
          <w:rFonts w:eastAsia="方正仿宋_GBK"/>
          <w:b/>
          <w:color w:val="000000"/>
          <w:sz w:val="33"/>
          <w:szCs w:val="33"/>
        </w:rPr>
        <w:t>（一）一般公共预算财政拨款支出决算总体情况</w:t>
      </w:r>
      <w:bookmarkEnd w:id="46"/>
      <w:bookmarkEnd w:id="47"/>
    </w:p>
    <w:p>
      <w:pPr>
        <w:ind w:firstLine="660" w:firstLineChars="200"/>
        <w:rPr>
          <w:rFonts w:eastAsia="方正仿宋_GBK"/>
          <w:sz w:val="33"/>
          <w:szCs w:val="33"/>
        </w:rPr>
      </w:pPr>
      <w:r>
        <w:rPr>
          <w:rFonts w:hint="eastAsia" w:eastAsia="方正仿宋_GBK"/>
          <w:color w:val="000000"/>
          <w:sz w:val="33"/>
          <w:szCs w:val="33"/>
          <w:lang w:val="en-US" w:eastAsia="zh-CN"/>
        </w:rPr>
        <w:t>2020</w:t>
      </w:r>
      <w:r>
        <w:rPr>
          <w:rFonts w:eastAsia="方正仿宋_GBK"/>
          <w:color w:val="000000"/>
          <w:sz w:val="33"/>
          <w:szCs w:val="33"/>
        </w:rPr>
        <w:t>年一般公共预算财政拨款支出</w:t>
      </w:r>
      <w:r>
        <w:rPr>
          <w:rFonts w:hint="eastAsia" w:eastAsia="方正仿宋_GBK"/>
          <w:color w:val="000000"/>
          <w:sz w:val="33"/>
          <w:szCs w:val="33"/>
          <w:lang w:val="en-US" w:eastAsia="zh-CN"/>
        </w:rPr>
        <w:t>485.68</w:t>
      </w:r>
      <w:r>
        <w:rPr>
          <w:rFonts w:eastAsia="方正仿宋_GBK"/>
          <w:color w:val="000000"/>
          <w:sz w:val="33"/>
          <w:szCs w:val="33"/>
        </w:rPr>
        <w:t>万元，占本年支出合计的</w:t>
      </w:r>
      <w:r>
        <w:rPr>
          <w:rFonts w:hint="eastAsia" w:eastAsia="方正仿宋_GBK"/>
          <w:color w:val="000000"/>
          <w:sz w:val="33"/>
          <w:szCs w:val="33"/>
          <w:lang w:val="en-US" w:eastAsia="zh-CN"/>
        </w:rPr>
        <w:t>40</w:t>
      </w:r>
      <w:r>
        <w:rPr>
          <w:rFonts w:eastAsia="方正仿宋_GBK"/>
          <w:color w:val="000000"/>
          <w:sz w:val="33"/>
          <w:szCs w:val="33"/>
        </w:rPr>
        <w:t>%。与201</w:t>
      </w:r>
      <w:r>
        <w:rPr>
          <w:rFonts w:hint="eastAsia" w:eastAsia="方正仿宋_GBK"/>
          <w:color w:val="000000"/>
          <w:sz w:val="33"/>
          <w:szCs w:val="33"/>
          <w:lang w:val="en-US" w:eastAsia="zh-CN"/>
        </w:rPr>
        <w:t>9</w:t>
      </w:r>
      <w:r>
        <w:rPr>
          <w:rFonts w:eastAsia="方正仿宋_GBK"/>
          <w:color w:val="000000"/>
          <w:sz w:val="33"/>
          <w:szCs w:val="33"/>
        </w:rPr>
        <w:t>年</w:t>
      </w:r>
      <w:r>
        <w:rPr>
          <w:rFonts w:hint="eastAsia" w:eastAsia="方正仿宋_GBK"/>
          <w:color w:val="000000"/>
          <w:sz w:val="33"/>
          <w:szCs w:val="33"/>
          <w:lang w:val="en-US" w:eastAsia="zh-CN"/>
        </w:rPr>
        <w:t>982.02万元</w:t>
      </w:r>
      <w:r>
        <w:rPr>
          <w:rFonts w:eastAsia="方正仿宋_GBK"/>
          <w:color w:val="000000"/>
          <w:sz w:val="33"/>
          <w:szCs w:val="33"/>
        </w:rPr>
        <w:t>相比，一般公共预算财政拨款减少</w:t>
      </w:r>
      <w:r>
        <w:rPr>
          <w:rFonts w:hint="eastAsia" w:eastAsia="方正仿宋_GBK"/>
          <w:color w:val="000000"/>
          <w:sz w:val="33"/>
          <w:szCs w:val="33"/>
          <w:lang w:val="en-US" w:eastAsia="zh-CN"/>
        </w:rPr>
        <w:t>496.33</w:t>
      </w:r>
      <w:r>
        <w:rPr>
          <w:rFonts w:eastAsia="方正仿宋_GBK"/>
          <w:color w:val="000000"/>
          <w:sz w:val="33"/>
          <w:szCs w:val="33"/>
        </w:rPr>
        <w:t>万元，下降</w:t>
      </w:r>
      <w:r>
        <w:rPr>
          <w:rFonts w:hint="eastAsia" w:eastAsia="方正仿宋_GBK"/>
          <w:color w:val="000000"/>
          <w:sz w:val="33"/>
          <w:szCs w:val="33"/>
          <w:lang w:val="en-US" w:eastAsia="zh-CN"/>
        </w:rPr>
        <w:t>50.5</w:t>
      </w:r>
      <w:r>
        <w:rPr>
          <w:rFonts w:eastAsia="方正仿宋_GBK"/>
          <w:color w:val="000000"/>
          <w:sz w:val="33"/>
          <w:szCs w:val="33"/>
        </w:rPr>
        <w:t>%。主要变动原因是</w:t>
      </w:r>
      <w:r>
        <w:rPr>
          <w:rFonts w:hint="eastAsia" w:eastAsia="方正仿宋_GBK"/>
          <w:color w:val="000000"/>
          <w:sz w:val="33"/>
          <w:szCs w:val="33"/>
          <w:lang w:val="en-US" w:eastAsia="zh-CN"/>
        </w:rPr>
        <w:t>年终目标</w:t>
      </w:r>
      <w:r>
        <w:rPr>
          <w:rFonts w:hint="eastAsia" w:eastAsia="方正仿宋_GBK"/>
          <w:sz w:val="33"/>
          <w:szCs w:val="33"/>
          <w:lang w:val="en-US" w:eastAsia="zh-CN"/>
        </w:rPr>
        <w:t>绩效410.68万元纳入政府基金项目支出</w:t>
      </w:r>
      <w:r>
        <w:rPr>
          <w:rFonts w:eastAsia="方正仿宋_GBK"/>
          <w:sz w:val="33"/>
          <w:szCs w:val="33"/>
        </w:rPr>
        <w:t>。</w:t>
      </w:r>
    </w:p>
    <w:p>
      <w:pPr>
        <w:ind w:firstLine="420" w:firstLineChars="200"/>
        <w:rPr>
          <w:rFonts w:ascii="仿宋" w:hAnsi="仿宋" w:eastAsia="仿宋"/>
          <w:color w:val="000000"/>
          <w:sz w:val="32"/>
          <w:szCs w:val="32"/>
        </w:rPr>
      </w:pPr>
      <w:r>
        <w:drawing>
          <wp:inline distT="0" distB="0" distL="114300" distR="114300">
            <wp:extent cx="4848225" cy="2743835"/>
            <wp:effectExtent l="4445" t="4445" r="8890" b="10160"/>
            <wp:docPr id="145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640" w:firstLineChars="200"/>
        <w:rPr>
          <w:rFonts w:ascii="仿宋" w:hAnsi="仿宋" w:eastAsia="仿宋"/>
          <w:color w:val="000000"/>
          <w:sz w:val="32"/>
          <w:szCs w:val="32"/>
        </w:rPr>
      </w:pP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（图5：一般公共预算财政拨款支出决算变动情况）（柱状图）</w:t>
      </w:r>
    </w:p>
    <w:p>
      <w:pPr>
        <w:ind w:firstLine="663" w:firstLineChars="200"/>
        <w:outlineLvl w:val="2"/>
        <w:rPr>
          <w:rFonts w:eastAsia="方正仿宋_GBK"/>
          <w:b/>
          <w:color w:val="000000"/>
          <w:sz w:val="33"/>
          <w:szCs w:val="33"/>
        </w:rPr>
      </w:pPr>
      <w:bookmarkStart w:id="48" w:name="_Toc49412324"/>
      <w:bookmarkStart w:id="49" w:name="_Toc15377211"/>
      <w:r>
        <w:rPr>
          <w:rFonts w:hint="eastAsia" w:eastAsia="方正仿宋_GBK"/>
          <w:b/>
          <w:color w:val="000000"/>
          <w:sz w:val="33"/>
          <w:szCs w:val="33"/>
        </w:rPr>
        <w:t>（二）一般公共预算财政拨款支出决算结构情况</w:t>
      </w:r>
      <w:bookmarkEnd w:id="48"/>
      <w:bookmarkEnd w:id="49"/>
    </w:p>
    <w:p>
      <w:pPr>
        <w:ind w:firstLine="660" w:firstLineChars="200"/>
        <w:outlineLvl w:val="2"/>
        <w:rPr>
          <w:rFonts w:eastAsia="方正仿宋_GBK"/>
          <w:color w:val="000000"/>
          <w:sz w:val="33"/>
          <w:szCs w:val="33"/>
        </w:rPr>
      </w:pPr>
      <w:r>
        <w:rPr>
          <w:rFonts w:hint="eastAsia" w:eastAsia="方正仿宋_GBK"/>
          <w:color w:val="000000"/>
          <w:sz w:val="33"/>
          <w:szCs w:val="33"/>
          <w:lang w:val="en-US" w:eastAsia="zh-CN"/>
        </w:rPr>
        <w:t>2020</w:t>
      </w:r>
      <w:r>
        <w:rPr>
          <w:rFonts w:hint="eastAsia" w:eastAsia="方正仿宋_GBK"/>
          <w:color w:val="000000"/>
          <w:sz w:val="33"/>
          <w:szCs w:val="33"/>
        </w:rPr>
        <w:t>年一般公共预算财政拨款支出</w:t>
      </w:r>
      <w:r>
        <w:rPr>
          <w:rFonts w:hint="eastAsia" w:eastAsia="方正仿宋_GBK"/>
          <w:color w:val="000000"/>
          <w:sz w:val="33"/>
          <w:szCs w:val="33"/>
          <w:lang w:val="en-US" w:eastAsia="zh-CN"/>
        </w:rPr>
        <w:t>485.68</w:t>
      </w:r>
      <w:r>
        <w:rPr>
          <w:rFonts w:hint="eastAsia" w:eastAsia="方正仿宋_GBK"/>
          <w:color w:val="000000"/>
          <w:sz w:val="33"/>
          <w:szCs w:val="33"/>
        </w:rPr>
        <w:t>万元，主要用于以下方面</w:t>
      </w:r>
      <w:r>
        <w:rPr>
          <w:rFonts w:eastAsia="方正仿宋_GBK"/>
          <w:color w:val="000000"/>
          <w:sz w:val="33"/>
          <w:szCs w:val="33"/>
        </w:rPr>
        <w:t>:</w:t>
      </w:r>
      <w:r>
        <w:rPr>
          <w:rFonts w:hint="eastAsia" w:eastAsia="方正仿宋_GBK"/>
          <w:color w:val="000000"/>
          <w:sz w:val="33"/>
          <w:szCs w:val="33"/>
        </w:rPr>
        <w:t>一般公共服务（类）支出</w:t>
      </w:r>
      <w:r>
        <w:rPr>
          <w:rFonts w:hint="eastAsia" w:eastAsia="方正仿宋_GBK"/>
          <w:color w:val="000000"/>
          <w:sz w:val="33"/>
          <w:szCs w:val="33"/>
          <w:lang w:val="en-US" w:eastAsia="zh-CN"/>
        </w:rPr>
        <w:t>8.5</w:t>
      </w:r>
      <w:r>
        <w:rPr>
          <w:rFonts w:hint="eastAsia" w:eastAsia="方正仿宋_GBK"/>
          <w:color w:val="000000"/>
          <w:sz w:val="33"/>
          <w:szCs w:val="33"/>
        </w:rPr>
        <w:t>万元，占</w:t>
      </w:r>
      <w:r>
        <w:rPr>
          <w:rFonts w:hint="eastAsia" w:eastAsia="方正仿宋_GBK"/>
          <w:color w:val="000000"/>
          <w:sz w:val="33"/>
          <w:szCs w:val="33"/>
          <w:lang w:val="en-US" w:eastAsia="zh-CN"/>
        </w:rPr>
        <w:t>2</w:t>
      </w:r>
      <w:r>
        <w:rPr>
          <w:rFonts w:eastAsia="方正仿宋_GBK"/>
          <w:color w:val="000000"/>
          <w:sz w:val="33"/>
          <w:szCs w:val="33"/>
        </w:rPr>
        <w:t>%</w:t>
      </w:r>
      <w:r>
        <w:rPr>
          <w:rFonts w:hint="eastAsia" w:eastAsia="方正仿宋_GBK"/>
          <w:color w:val="000000"/>
          <w:sz w:val="33"/>
          <w:szCs w:val="33"/>
        </w:rPr>
        <w:t>；社会保障和就业（类）支出</w:t>
      </w:r>
      <w:r>
        <w:rPr>
          <w:rFonts w:hint="eastAsia" w:eastAsia="方正仿宋_GBK"/>
          <w:color w:val="000000"/>
          <w:sz w:val="33"/>
          <w:szCs w:val="33"/>
          <w:lang w:val="en-US" w:eastAsia="zh-CN"/>
        </w:rPr>
        <w:t>405.50</w:t>
      </w:r>
      <w:r>
        <w:rPr>
          <w:rFonts w:hint="eastAsia" w:eastAsia="方正仿宋_GBK"/>
          <w:color w:val="000000"/>
          <w:sz w:val="33"/>
          <w:szCs w:val="33"/>
        </w:rPr>
        <w:t>万元，占</w:t>
      </w:r>
      <w:r>
        <w:rPr>
          <w:rFonts w:hint="eastAsia" w:eastAsia="方正仿宋_GBK"/>
          <w:color w:val="000000"/>
          <w:sz w:val="33"/>
          <w:szCs w:val="33"/>
          <w:lang w:val="en-US" w:eastAsia="zh-CN"/>
        </w:rPr>
        <w:t>83</w:t>
      </w:r>
      <w:r>
        <w:rPr>
          <w:rFonts w:eastAsia="方正仿宋_GBK"/>
          <w:color w:val="000000"/>
          <w:sz w:val="33"/>
          <w:szCs w:val="33"/>
        </w:rPr>
        <w:t>%</w:t>
      </w:r>
      <w:r>
        <w:rPr>
          <w:rFonts w:hint="eastAsia" w:eastAsia="方正仿宋_GBK"/>
          <w:color w:val="000000"/>
          <w:sz w:val="33"/>
          <w:szCs w:val="33"/>
        </w:rPr>
        <w:t>；卫生健康支出</w:t>
      </w:r>
      <w:r>
        <w:rPr>
          <w:rFonts w:hint="eastAsia" w:eastAsia="方正仿宋_GBK"/>
          <w:color w:val="000000"/>
          <w:sz w:val="33"/>
          <w:szCs w:val="33"/>
          <w:lang w:val="en-US" w:eastAsia="zh-CN"/>
        </w:rPr>
        <w:t>36.26</w:t>
      </w:r>
      <w:r>
        <w:rPr>
          <w:rFonts w:hint="eastAsia" w:eastAsia="方正仿宋_GBK"/>
          <w:color w:val="000000"/>
          <w:sz w:val="33"/>
          <w:szCs w:val="33"/>
        </w:rPr>
        <w:t>万元，占</w:t>
      </w:r>
      <w:r>
        <w:rPr>
          <w:rFonts w:hint="eastAsia" w:eastAsia="方正仿宋_GBK"/>
          <w:color w:val="000000"/>
          <w:sz w:val="33"/>
          <w:szCs w:val="33"/>
          <w:lang w:val="en-US" w:eastAsia="zh-CN"/>
        </w:rPr>
        <w:t>7</w:t>
      </w:r>
      <w:r>
        <w:rPr>
          <w:rFonts w:eastAsia="方正仿宋_GBK"/>
          <w:color w:val="000000"/>
          <w:sz w:val="33"/>
          <w:szCs w:val="33"/>
        </w:rPr>
        <w:t>%</w:t>
      </w:r>
      <w:r>
        <w:rPr>
          <w:rFonts w:hint="eastAsia" w:eastAsia="方正仿宋_GBK"/>
          <w:color w:val="000000"/>
          <w:sz w:val="33"/>
          <w:szCs w:val="33"/>
        </w:rPr>
        <w:t>；住房保障支出</w:t>
      </w:r>
      <w:r>
        <w:rPr>
          <w:rFonts w:hint="eastAsia" w:eastAsia="方正仿宋_GBK"/>
          <w:color w:val="000000"/>
          <w:sz w:val="33"/>
          <w:szCs w:val="33"/>
          <w:lang w:val="en-US" w:eastAsia="zh-CN"/>
        </w:rPr>
        <w:t>35.42</w:t>
      </w:r>
      <w:r>
        <w:rPr>
          <w:rFonts w:hint="eastAsia" w:eastAsia="方正仿宋_GBK"/>
          <w:color w:val="000000"/>
          <w:sz w:val="33"/>
          <w:szCs w:val="33"/>
        </w:rPr>
        <w:t>万元，占</w:t>
      </w:r>
      <w:r>
        <w:rPr>
          <w:rFonts w:hint="eastAsia" w:eastAsia="方正仿宋_GBK"/>
          <w:color w:val="000000"/>
          <w:sz w:val="33"/>
          <w:szCs w:val="33"/>
          <w:lang w:val="en-US" w:eastAsia="zh-CN"/>
        </w:rPr>
        <w:t>8</w:t>
      </w:r>
      <w:r>
        <w:rPr>
          <w:rFonts w:eastAsia="方正仿宋_GBK"/>
          <w:color w:val="000000"/>
          <w:sz w:val="33"/>
          <w:szCs w:val="33"/>
        </w:rPr>
        <w:t>%</w:t>
      </w:r>
      <w:r>
        <w:rPr>
          <w:rFonts w:hint="eastAsia" w:eastAsia="方正仿宋_GBK"/>
          <w:color w:val="000000"/>
          <w:sz w:val="33"/>
          <w:szCs w:val="33"/>
        </w:rPr>
        <w:t>。</w:t>
      </w:r>
    </w:p>
    <w:p>
      <w:pPr>
        <w:ind w:firstLine="640"/>
        <w:rPr>
          <w:rFonts w:ascii="仿宋" w:hAnsi="仿宋" w:eastAsia="仿宋"/>
          <w:color w:val="000000" w:themeColor="text1"/>
          <w:sz w:val="32"/>
          <w:szCs w:val="32"/>
        </w:rPr>
      </w:pPr>
      <w:r>
        <w:drawing>
          <wp:inline distT="0" distB="0" distL="114300" distR="114300">
            <wp:extent cx="4572000" cy="2421255"/>
            <wp:effectExtent l="4445" t="4445" r="10795" b="12700"/>
            <wp:docPr id="145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ind w:firstLine="640" w:firstLineChars="200"/>
        <w:rPr>
          <w:rFonts w:ascii="仿宋" w:hAnsi="仿宋" w:eastAsia="仿宋"/>
          <w:color w:val="000000"/>
          <w:sz w:val="32"/>
          <w:szCs w:val="32"/>
          <w:highlight w:val="none"/>
        </w:rPr>
      </w:pPr>
      <w:r>
        <w:rPr>
          <w:rFonts w:hint="eastAsia" w:ascii="仿宋" w:hAnsi="仿宋" w:eastAsia="仿宋"/>
          <w:color w:val="000000"/>
          <w:sz w:val="32"/>
          <w:szCs w:val="32"/>
          <w:highlight w:val="none"/>
        </w:rPr>
        <w:t>（图6：一般公共预算财政拨款支出决算结构）（饼状图）</w:t>
      </w:r>
    </w:p>
    <w:p>
      <w:pPr>
        <w:ind w:firstLine="643" w:firstLineChars="200"/>
        <w:outlineLvl w:val="2"/>
        <w:rPr>
          <w:rFonts w:eastAsia="方正仿宋_GBK"/>
          <w:b/>
          <w:color w:val="000000"/>
          <w:sz w:val="32"/>
          <w:szCs w:val="32"/>
          <w:highlight w:val="none"/>
        </w:rPr>
      </w:pPr>
      <w:bookmarkStart w:id="50" w:name="_Toc49412325"/>
      <w:bookmarkStart w:id="51" w:name="_Toc15377212"/>
      <w:r>
        <w:rPr>
          <w:rFonts w:eastAsia="方正仿宋_GBK"/>
          <w:b/>
          <w:color w:val="000000"/>
          <w:sz w:val="32"/>
          <w:szCs w:val="32"/>
          <w:highlight w:val="none"/>
        </w:rPr>
        <w:t>（三）一般公共预算财政拨款支出决算具体情况</w:t>
      </w:r>
      <w:bookmarkEnd w:id="50"/>
      <w:bookmarkEnd w:id="51"/>
    </w:p>
    <w:p>
      <w:pPr>
        <w:ind w:firstLine="640" w:firstLineChars="200"/>
        <w:rPr>
          <w:rFonts w:eastAsia="方正仿宋_GBK"/>
          <w:color w:val="FF0000"/>
          <w:sz w:val="32"/>
          <w:szCs w:val="32"/>
          <w:highlight w:val="none"/>
        </w:rPr>
      </w:pPr>
      <w:bookmarkStart w:id="52" w:name="_Toc15378460"/>
      <w:bookmarkStart w:id="53" w:name="_Toc15377213"/>
      <w:bookmarkStart w:id="54" w:name="_Toc15377444"/>
      <w:r>
        <w:rPr>
          <w:rFonts w:hint="eastAsia" w:eastAsia="方正仿宋_GBK"/>
          <w:color w:val="000000" w:themeColor="text1"/>
          <w:sz w:val="32"/>
          <w:szCs w:val="32"/>
          <w:highlight w:val="none"/>
          <w:lang w:val="en-US" w:eastAsia="zh-CN"/>
        </w:rPr>
        <w:t>2020</w:t>
      </w:r>
      <w:r>
        <w:rPr>
          <w:rFonts w:eastAsia="方正仿宋_GBK"/>
          <w:color w:val="000000" w:themeColor="text1"/>
          <w:sz w:val="32"/>
          <w:szCs w:val="32"/>
          <w:highlight w:val="none"/>
        </w:rPr>
        <w:t>年</w:t>
      </w:r>
      <w:r>
        <w:rPr>
          <w:rFonts w:eastAsia="方正仿宋_GBK"/>
          <w:color w:val="000000"/>
          <w:sz w:val="32"/>
          <w:szCs w:val="32"/>
          <w:highlight w:val="none"/>
        </w:rPr>
        <w:t>一</w:t>
      </w:r>
      <w:r>
        <w:rPr>
          <w:rFonts w:eastAsia="方正仿宋_GBK"/>
          <w:color w:val="000000" w:themeColor="text1"/>
          <w:sz w:val="32"/>
          <w:szCs w:val="32"/>
          <w:highlight w:val="none"/>
        </w:rPr>
        <w:t>般公共预算支出决算数为</w:t>
      </w:r>
      <w:r>
        <w:rPr>
          <w:rFonts w:hint="eastAsia" w:eastAsia="方正仿宋_GBK"/>
          <w:color w:val="000000" w:themeColor="text1"/>
          <w:sz w:val="32"/>
          <w:szCs w:val="32"/>
          <w:highlight w:val="none"/>
          <w:lang w:val="en-US" w:eastAsia="zh-CN"/>
        </w:rPr>
        <w:t>485.68</w:t>
      </w:r>
      <w:r>
        <w:rPr>
          <w:rFonts w:eastAsia="方正仿宋_GBK"/>
          <w:color w:val="000000" w:themeColor="text1"/>
          <w:sz w:val="32"/>
          <w:szCs w:val="32"/>
          <w:highlight w:val="none"/>
        </w:rPr>
        <w:t>万元，</w:t>
      </w:r>
      <w:r>
        <w:rPr>
          <w:rStyle w:val="14"/>
          <w:rFonts w:eastAsia="方正仿宋_GBK"/>
          <w:bCs/>
          <w:color w:val="000000" w:themeColor="text1"/>
          <w:sz w:val="32"/>
          <w:szCs w:val="32"/>
          <w:highlight w:val="none"/>
        </w:rPr>
        <w:t>完成</w:t>
      </w:r>
      <w:r>
        <w:rPr>
          <w:rStyle w:val="14"/>
          <w:rFonts w:eastAsia="方正仿宋_GBK"/>
          <w:bCs/>
          <w:color w:val="000000"/>
          <w:sz w:val="32"/>
          <w:szCs w:val="32"/>
          <w:highlight w:val="none"/>
        </w:rPr>
        <w:t>预算</w:t>
      </w:r>
      <w:r>
        <w:rPr>
          <w:rStyle w:val="14"/>
          <w:rFonts w:hint="eastAsia" w:eastAsia="方正仿宋_GBK"/>
          <w:bCs/>
          <w:color w:val="000000"/>
          <w:sz w:val="32"/>
          <w:szCs w:val="32"/>
          <w:highlight w:val="none"/>
          <w:lang w:val="en-US" w:eastAsia="zh-CN"/>
        </w:rPr>
        <w:t>100</w:t>
      </w:r>
      <w:r>
        <w:rPr>
          <w:rStyle w:val="14"/>
          <w:rFonts w:eastAsia="方正仿宋_GBK"/>
          <w:bCs/>
          <w:color w:val="000000"/>
          <w:sz w:val="32"/>
          <w:szCs w:val="32"/>
          <w:highlight w:val="none"/>
        </w:rPr>
        <w:t>%。其中：</w:t>
      </w:r>
      <w:bookmarkEnd w:id="52"/>
      <w:bookmarkEnd w:id="53"/>
      <w:bookmarkEnd w:id="54"/>
    </w:p>
    <w:p>
      <w:pPr>
        <w:ind w:firstLine="643" w:firstLineChars="200"/>
        <w:rPr>
          <w:rFonts w:eastAsia="方正仿宋_GBK"/>
          <w:b/>
          <w:color w:val="000000"/>
          <w:sz w:val="32"/>
          <w:szCs w:val="32"/>
        </w:rPr>
      </w:pPr>
      <w:r>
        <w:rPr>
          <w:rStyle w:val="14"/>
          <w:rFonts w:eastAsia="方正仿宋_GBK"/>
          <w:bCs/>
          <w:color w:val="000000"/>
          <w:sz w:val="32"/>
          <w:szCs w:val="32"/>
        </w:rPr>
        <w:t>1.一般公共服务支出:</w:t>
      </w:r>
      <w:r>
        <w:rPr>
          <w:rStyle w:val="14"/>
          <w:rFonts w:eastAsia="方正仿宋_GBK"/>
          <w:b w:val="0"/>
          <w:bCs/>
          <w:color w:val="000000"/>
          <w:sz w:val="32"/>
          <w:szCs w:val="32"/>
        </w:rPr>
        <w:t>人力资源事务-其他人力资源事务支出决算为</w:t>
      </w:r>
      <w:r>
        <w:rPr>
          <w:rStyle w:val="14"/>
          <w:rFonts w:hint="eastAsia" w:eastAsia="方正仿宋_GBK"/>
          <w:b w:val="0"/>
          <w:bCs/>
          <w:color w:val="000000"/>
          <w:sz w:val="32"/>
          <w:szCs w:val="32"/>
          <w:lang w:val="en-US" w:eastAsia="zh-CN"/>
        </w:rPr>
        <w:t>8.5</w:t>
      </w:r>
      <w:r>
        <w:rPr>
          <w:rStyle w:val="14"/>
          <w:rFonts w:eastAsia="方正仿宋_GBK"/>
          <w:b w:val="0"/>
          <w:bCs/>
          <w:color w:val="000000"/>
          <w:sz w:val="32"/>
          <w:szCs w:val="32"/>
        </w:rPr>
        <w:t>万元，完成预算100%。</w:t>
      </w:r>
    </w:p>
    <w:p>
      <w:pPr>
        <w:ind w:firstLine="643" w:firstLineChars="200"/>
        <w:rPr>
          <w:rFonts w:eastAsia="方正仿宋_GBK"/>
          <w:b/>
          <w:bCs/>
          <w:color w:val="000000"/>
          <w:sz w:val="32"/>
          <w:szCs w:val="32"/>
        </w:rPr>
      </w:pPr>
      <w:r>
        <w:rPr>
          <w:rStyle w:val="14"/>
          <w:rFonts w:eastAsia="方正仿宋_GBK"/>
          <w:bCs/>
          <w:color w:val="000000"/>
          <w:sz w:val="32"/>
          <w:szCs w:val="32"/>
        </w:rPr>
        <w:t>2.社会保障和就业支出:</w:t>
      </w:r>
      <w:r>
        <w:rPr>
          <w:rStyle w:val="14"/>
          <w:rFonts w:eastAsia="方正仿宋_GBK"/>
          <w:b w:val="0"/>
          <w:bCs/>
          <w:color w:val="000000"/>
          <w:sz w:val="32"/>
          <w:szCs w:val="32"/>
        </w:rPr>
        <w:t xml:space="preserve"> 人力资源和社会保障管理事务-行政运行支出决算为</w:t>
      </w:r>
      <w:r>
        <w:rPr>
          <w:rStyle w:val="14"/>
          <w:rFonts w:hint="eastAsia" w:eastAsia="方正仿宋_GBK"/>
          <w:b w:val="0"/>
          <w:bCs/>
          <w:color w:val="000000"/>
          <w:sz w:val="32"/>
          <w:szCs w:val="32"/>
          <w:lang w:val="en-US" w:eastAsia="zh-CN"/>
        </w:rPr>
        <w:t>213.69</w:t>
      </w:r>
      <w:r>
        <w:rPr>
          <w:rStyle w:val="14"/>
          <w:rFonts w:eastAsia="方正仿宋_GBK"/>
          <w:b w:val="0"/>
          <w:bCs/>
          <w:color w:val="000000"/>
          <w:sz w:val="32"/>
          <w:szCs w:val="32"/>
        </w:rPr>
        <w:t>万元，完成预算</w:t>
      </w:r>
      <w:r>
        <w:rPr>
          <w:rStyle w:val="14"/>
          <w:rFonts w:hint="eastAsia" w:eastAsia="方正仿宋_GBK"/>
          <w:b w:val="0"/>
          <w:bCs/>
          <w:color w:val="000000"/>
          <w:sz w:val="32"/>
          <w:szCs w:val="32"/>
          <w:lang w:val="en-US" w:eastAsia="zh-CN"/>
        </w:rPr>
        <w:t>100</w:t>
      </w:r>
      <w:r>
        <w:rPr>
          <w:rStyle w:val="14"/>
          <w:rFonts w:eastAsia="方正仿宋_GBK"/>
          <w:b w:val="0"/>
          <w:bCs/>
          <w:color w:val="000000"/>
          <w:sz w:val="32"/>
          <w:szCs w:val="32"/>
        </w:rPr>
        <w:t>%，人力资源和社会保障管理事务-社会保险经办机构支出决算为</w:t>
      </w:r>
      <w:r>
        <w:rPr>
          <w:rStyle w:val="14"/>
          <w:rFonts w:hint="eastAsia" w:eastAsia="方正仿宋_GBK"/>
          <w:b w:val="0"/>
          <w:bCs/>
          <w:color w:val="000000"/>
          <w:sz w:val="32"/>
          <w:szCs w:val="32"/>
          <w:lang w:val="en-US" w:eastAsia="zh-CN"/>
        </w:rPr>
        <w:t>144.57</w:t>
      </w:r>
      <w:r>
        <w:rPr>
          <w:rStyle w:val="14"/>
          <w:rFonts w:eastAsia="方正仿宋_GBK"/>
          <w:b w:val="0"/>
          <w:bCs/>
          <w:color w:val="000000"/>
          <w:sz w:val="32"/>
          <w:szCs w:val="32"/>
        </w:rPr>
        <w:t>万元，完成预算100%；行政事业单位离退休-机关事业单位基本养老保险缴费支出决算为</w:t>
      </w:r>
      <w:r>
        <w:rPr>
          <w:rStyle w:val="14"/>
          <w:rFonts w:hint="eastAsia" w:eastAsia="方正仿宋_GBK"/>
          <w:b w:val="0"/>
          <w:bCs/>
          <w:color w:val="000000"/>
          <w:sz w:val="32"/>
          <w:szCs w:val="32"/>
          <w:lang w:val="en-US" w:eastAsia="zh-CN"/>
        </w:rPr>
        <w:t>47.23</w:t>
      </w:r>
      <w:r>
        <w:rPr>
          <w:rStyle w:val="14"/>
          <w:rFonts w:eastAsia="方正仿宋_GBK"/>
          <w:b w:val="0"/>
          <w:bCs/>
          <w:color w:val="000000"/>
          <w:sz w:val="32"/>
          <w:szCs w:val="32"/>
        </w:rPr>
        <w:t>万元，完成预算100%.</w:t>
      </w:r>
    </w:p>
    <w:p>
      <w:pPr>
        <w:ind w:firstLine="643" w:firstLineChars="200"/>
        <w:rPr>
          <w:rStyle w:val="14"/>
          <w:rFonts w:eastAsia="方正仿宋_GBK"/>
          <w:b w:val="0"/>
          <w:bCs/>
          <w:color w:val="000000"/>
          <w:sz w:val="32"/>
          <w:szCs w:val="32"/>
        </w:rPr>
      </w:pPr>
      <w:r>
        <w:rPr>
          <w:rStyle w:val="14"/>
          <w:rFonts w:eastAsia="方正仿宋_GBK"/>
          <w:bCs/>
          <w:color w:val="000000"/>
          <w:sz w:val="32"/>
          <w:szCs w:val="32"/>
        </w:rPr>
        <w:t>3.</w:t>
      </w:r>
      <w:r>
        <w:rPr>
          <w:rFonts w:eastAsia="方正仿宋_GBK"/>
          <w:b/>
          <w:bCs/>
          <w:color w:val="000000" w:themeColor="text1"/>
          <w:sz w:val="32"/>
          <w:szCs w:val="32"/>
        </w:rPr>
        <w:t>卫生健康</w:t>
      </w:r>
      <w:r>
        <w:rPr>
          <w:rStyle w:val="14"/>
          <w:rFonts w:eastAsia="方正仿宋_GBK"/>
          <w:bCs/>
          <w:color w:val="000000"/>
          <w:sz w:val="32"/>
          <w:szCs w:val="32"/>
        </w:rPr>
        <w:t>支出:</w:t>
      </w:r>
      <w:r>
        <w:rPr>
          <w:rStyle w:val="14"/>
          <w:rFonts w:eastAsia="方正仿宋_GBK"/>
          <w:b w:val="0"/>
          <w:bCs/>
          <w:color w:val="000000"/>
          <w:sz w:val="32"/>
          <w:szCs w:val="32"/>
        </w:rPr>
        <w:t>行政事业单位医疗-行政单位医疗支出决算为</w:t>
      </w:r>
      <w:r>
        <w:rPr>
          <w:rStyle w:val="14"/>
          <w:rFonts w:hint="eastAsia" w:eastAsia="方正仿宋_GBK"/>
          <w:b w:val="0"/>
          <w:bCs/>
          <w:color w:val="000000"/>
          <w:sz w:val="32"/>
          <w:szCs w:val="32"/>
          <w:lang w:val="en-US" w:eastAsia="zh-CN"/>
        </w:rPr>
        <w:t>18.32</w:t>
      </w:r>
      <w:r>
        <w:rPr>
          <w:rStyle w:val="14"/>
          <w:rFonts w:eastAsia="方正仿宋_GBK"/>
          <w:b w:val="0"/>
          <w:bCs/>
          <w:color w:val="000000"/>
          <w:sz w:val="32"/>
          <w:szCs w:val="32"/>
        </w:rPr>
        <w:t>万元，完成预算100%；行政事业单位医疗-事业单位医疗支出决算为</w:t>
      </w:r>
      <w:r>
        <w:rPr>
          <w:rStyle w:val="14"/>
          <w:rFonts w:hint="eastAsia" w:eastAsia="方正仿宋_GBK"/>
          <w:b w:val="0"/>
          <w:bCs/>
          <w:color w:val="000000"/>
          <w:sz w:val="32"/>
          <w:szCs w:val="32"/>
          <w:lang w:val="en-US" w:eastAsia="zh-CN"/>
        </w:rPr>
        <w:t>8.7</w:t>
      </w:r>
      <w:r>
        <w:rPr>
          <w:rStyle w:val="14"/>
          <w:rFonts w:eastAsia="方正仿宋_GBK"/>
          <w:b w:val="0"/>
          <w:bCs/>
          <w:color w:val="000000"/>
          <w:sz w:val="32"/>
          <w:szCs w:val="32"/>
        </w:rPr>
        <w:t>万元，完成预算100%；行政事业单位医疗-公务员医疗补助支出决算为</w:t>
      </w:r>
      <w:r>
        <w:rPr>
          <w:rStyle w:val="14"/>
          <w:rFonts w:hint="eastAsia" w:eastAsia="方正仿宋_GBK"/>
          <w:b w:val="0"/>
          <w:bCs/>
          <w:color w:val="000000"/>
          <w:sz w:val="32"/>
          <w:szCs w:val="32"/>
          <w:lang w:val="en-US" w:eastAsia="zh-CN"/>
        </w:rPr>
        <w:t>9.01</w:t>
      </w:r>
      <w:r>
        <w:rPr>
          <w:rStyle w:val="14"/>
          <w:rFonts w:eastAsia="方正仿宋_GBK"/>
          <w:b w:val="0"/>
          <w:bCs/>
          <w:color w:val="000000"/>
          <w:sz w:val="32"/>
          <w:szCs w:val="32"/>
        </w:rPr>
        <w:t>万元，完成预算100%；行政事业单位医疗-其他行政事业单位医疗支出决算为0.23万元，完成预算100%。</w:t>
      </w:r>
    </w:p>
    <w:p>
      <w:pPr>
        <w:ind w:firstLine="643" w:firstLineChars="200"/>
        <w:rPr>
          <w:rFonts w:ascii="仿宋" w:hAnsi="仿宋" w:eastAsia="仿宋"/>
          <w:b/>
          <w:color w:val="000000"/>
          <w:sz w:val="32"/>
          <w:szCs w:val="32"/>
        </w:rPr>
      </w:pPr>
      <w:r>
        <w:rPr>
          <w:rStyle w:val="14"/>
          <w:rFonts w:eastAsia="方正仿宋_GBK"/>
          <w:bCs/>
          <w:color w:val="000000"/>
          <w:sz w:val="32"/>
          <w:szCs w:val="32"/>
        </w:rPr>
        <w:t>4.住房保障支出：</w:t>
      </w:r>
      <w:r>
        <w:rPr>
          <w:rFonts w:eastAsia="方正仿宋_GBK"/>
          <w:color w:val="000000"/>
          <w:kern w:val="0"/>
          <w:sz w:val="32"/>
        </w:rPr>
        <w:t>住房改革支出-住房公积金支出决算</w:t>
      </w:r>
      <w:r>
        <w:rPr>
          <w:rFonts w:hint="eastAsia" w:eastAsia="方正仿宋_GBK"/>
          <w:color w:val="000000"/>
          <w:kern w:val="0"/>
          <w:sz w:val="32"/>
          <w:lang w:val="en-US" w:eastAsia="zh-CN"/>
        </w:rPr>
        <w:t>35.43</w:t>
      </w:r>
      <w:r>
        <w:rPr>
          <w:rFonts w:eastAsia="方正仿宋_GBK"/>
          <w:color w:val="000000"/>
          <w:kern w:val="0"/>
          <w:sz w:val="32"/>
        </w:rPr>
        <w:t>万元，完成预算100%。</w:t>
      </w:r>
    </w:p>
    <w:p>
      <w:pPr>
        <w:tabs>
          <w:tab w:val="right" w:pos="8306"/>
        </w:tabs>
        <w:ind w:firstLine="640"/>
        <w:outlineLvl w:val="1"/>
        <w:rPr>
          <w:rStyle w:val="26"/>
          <w:rFonts w:ascii="方正楷体_GBK" w:eastAsia="方正楷体_GBK"/>
          <w:sz w:val="33"/>
          <w:szCs w:val="33"/>
        </w:rPr>
      </w:pPr>
      <w:bookmarkStart w:id="55" w:name="_Toc49412326"/>
      <w:bookmarkStart w:id="56" w:name="_Toc15377214"/>
      <w:bookmarkStart w:id="57" w:name="_Toc15396608"/>
      <w:r>
        <w:rPr>
          <w:rFonts w:hint="eastAsia" w:ascii="方正楷体_GBK" w:eastAsia="方正楷体_GBK"/>
          <w:color w:val="000000"/>
          <w:sz w:val="33"/>
          <w:szCs w:val="33"/>
        </w:rPr>
        <w:t>六、</w:t>
      </w:r>
      <w:r>
        <w:rPr>
          <w:rFonts w:hint="eastAsia" w:ascii="方正楷体_GBK" w:hAnsi="黑体" w:eastAsia="方正楷体_GBK"/>
          <w:color w:val="000000"/>
          <w:sz w:val="33"/>
          <w:szCs w:val="33"/>
        </w:rPr>
        <w:t>一</w:t>
      </w:r>
      <w:r>
        <w:rPr>
          <w:rStyle w:val="26"/>
          <w:rFonts w:hint="eastAsia" w:ascii="方正楷体_GBK" w:hAnsi="黑体" w:eastAsia="方正楷体_GBK"/>
          <w:sz w:val="33"/>
          <w:szCs w:val="33"/>
        </w:rPr>
        <w:t>般公共预算财政拨款基本支出决算情况说明</w:t>
      </w:r>
      <w:bookmarkEnd w:id="55"/>
      <w:bookmarkEnd w:id="56"/>
      <w:bookmarkEnd w:id="57"/>
      <w:r>
        <w:rPr>
          <w:rStyle w:val="26"/>
          <w:rFonts w:hint="eastAsia" w:ascii="方正楷体_GBK" w:hAnsi="黑体" w:eastAsia="方正楷体_GBK"/>
          <w:sz w:val="33"/>
          <w:szCs w:val="33"/>
        </w:rPr>
        <w:tab/>
      </w:r>
    </w:p>
    <w:p>
      <w:pPr>
        <w:spacing w:line="590" w:lineRule="exact"/>
        <w:ind w:firstLine="646"/>
        <w:rPr>
          <w:rFonts w:eastAsia="方正仿宋_GBK"/>
          <w:color w:val="000000"/>
          <w:sz w:val="33"/>
          <w:szCs w:val="33"/>
        </w:rPr>
      </w:pPr>
      <w:r>
        <w:rPr>
          <w:rFonts w:eastAsia="方正仿宋_GBK"/>
          <w:color w:val="000000"/>
          <w:sz w:val="33"/>
          <w:szCs w:val="33"/>
        </w:rPr>
        <w:t>2019年一般公共预算财政拨款基本支出</w:t>
      </w:r>
      <w:r>
        <w:rPr>
          <w:rFonts w:hint="eastAsia" w:eastAsia="方正仿宋_GBK"/>
          <w:color w:val="000000"/>
          <w:sz w:val="33"/>
          <w:szCs w:val="33"/>
          <w:lang w:val="en-US" w:eastAsia="zh-CN"/>
        </w:rPr>
        <w:t>485.67</w:t>
      </w:r>
      <w:r>
        <w:rPr>
          <w:rFonts w:eastAsia="方正仿宋_GBK"/>
          <w:color w:val="000000"/>
          <w:sz w:val="33"/>
          <w:szCs w:val="33"/>
        </w:rPr>
        <w:t>万元，其中：</w:t>
      </w:r>
    </w:p>
    <w:p>
      <w:pPr>
        <w:spacing w:line="590" w:lineRule="exact"/>
        <w:ind w:firstLine="646"/>
        <w:rPr>
          <w:rFonts w:eastAsia="方正仿宋_GBK"/>
          <w:color w:val="000000"/>
          <w:sz w:val="33"/>
          <w:szCs w:val="33"/>
        </w:rPr>
      </w:pPr>
      <w:r>
        <w:rPr>
          <w:rFonts w:eastAsia="方正仿宋_GBK"/>
          <w:color w:val="000000"/>
          <w:sz w:val="33"/>
          <w:szCs w:val="33"/>
        </w:rPr>
        <w:t>人员经费</w:t>
      </w:r>
      <w:r>
        <w:rPr>
          <w:rFonts w:hint="eastAsia" w:eastAsia="方正仿宋_GBK"/>
          <w:color w:val="000000"/>
          <w:sz w:val="33"/>
          <w:szCs w:val="33"/>
          <w:lang w:val="en-US" w:eastAsia="zh-CN"/>
        </w:rPr>
        <w:t>458.64</w:t>
      </w:r>
      <w:r>
        <w:rPr>
          <w:rFonts w:eastAsia="方正仿宋_GBK"/>
          <w:color w:val="000000"/>
          <w:sz w:val="33"/>
          <w:szCs w:val="33"/>
        </w:rPr>
        <w:t>万元，主要包括：基本工资、津贴补贴、奖金、绩效工资、机关事业单位基本养老保险缴费、职工基本医疗保险缴费、公务员医疗补助缴费、其他社会保障缴费、住房公积金、其他工资福利支出、生活补助、奖励金、其他对个人和家庭的补助支出等。</w:t>
      </w:r>
      <w:r>
        <w:rPr>
          <w:rFonts w:eastAsia="方正仿宋_GBK"/>
          <w:color w:val="000000"/>
          <w:sz w:val="33"/>
          <w:szCs w:val="33"/>
        </w:rPr>
        <w:br w:type="textWrapping"/>
      </w:r>
      <w:r>
        <w:rPr>
          <w:rFonts w:eastAsia="方正仿宋_GBK"/>
          <w:color w:val="000000"/>
          <w:sz w:val="33"/>
          <w:szCs w:val="33"/>
        </w:rPr>
        <w:t>　　日常公用经费</w:t>
      </w:r>
      <w:r>
        <w:rPr>
          <w:rFonts w:hint="eastAsia" w:eastAsia="方正仿宋_GBK"/>
          <w:color w:val="000000"/>
          <w:sz w:val="33"/>
          <w:szCs w:val="33"/>
          <w:lang w:val="en-US" w:eastAsia="zh-CN"/>
        </w:rPr>
        <w:t>27.03</w:t>
      </w:r>
      <w:r>
        <w:rPr>
          <w:rFonts w:eastAsia="方正仿宋_GBK"/>
          <w:color w:val="000000"/>
          <w:sz w:val="33"/>
          <w:szCs w:val="33"/>
        </w:rPr>
        <w:t>万元，主要包括：办公费、印刷费、水费、电费、邮电费、物业管理费、差旅费、维修（护）费、会议费、培训费、公务接待费、劳务费、工会经费、福利费、其他交通费、其他商品和服务支出、办公设备购置等。</w:t>
      </w:r>
    </w:p>
    <w:p>
      <w:pPr>
        <w:tabs>
          <w:tab w:val="right" w:pos="8306"/>
        </w:tabs>
        <w:ind w:firstLine="640"/>
        <w:outlineLvl w:val="1"/>
        <w:rPr>
          <w:rFonts w:ascii="方正楷体_GBK" w:eastAsia="方正楷体_GBK"/>
          <w:b/>
          <w:bCs/>
          <w:color w:val="000000"/>
          <w:sz w:val="33"/>
          <w:szCs w:val="33"/>
        </w:rPr>
      </w:pPr>
      <w:bookmarkStart w:id="58" w:name="_Toc49412327"/>
      <w:bookmarkStart w:id="59" w:name="_Toc15396609"/>
      <w:bookmarkStart w:id="60" w:name="_Toc15377215"/>
      <w:r>
        <w:rPr>
          <w:rFonts w:hint="eastAsia" w:ascii="方正楷体_GBK" w:eastAsia="方正楷体_GBK"/>
          <w:b/>
          <w:color w:val="000000"/>
          <w:sz w:val="33"/>
          <w:szCs w:val="33"/>
        </w:rPr>
        <w:t>七、</w:t>
      </w:r>
      <w:r>
        <w:rPr>
          <w:rFonts w:hint="eastAsia" w:ascii="方正楷体_GBK" w:eastAsia="方正楷体_GBK"/>
          <w:b/>
          <w:bCs/>
          <w:color w:val="000000"/>
          <w:sz w:val="33"/>
          <w:szCs w:val="33"/>
        </w:rPr>
        <w:t>“三公”经费财政拨款支出决算情况说明</w:t>
      </w:r>
      <w:bookmarkEnd w:id="58"/>
      <w:bookmarkEnd w:id="59"/>
      <w:bookmarkEnd w:id="60"/>
    </w:p>
    <w:p>
      <w:pPr>
        <w:spacing w:line="590" w:lineRule="exact"/>
        <w:ind w:firstLine="641"/>
        <w:outlineLvl w:val="2"/>
        <w:rPr>
          <w:rFonts w:eastAsia="方正仿宋_GBK"/>
          <w:b/>
          <w:color w:val="000000"/>
          <w:sz w:val="33"/>
          <w:szCs w:val="33"/>
        </w:rPr>
      </w:pPr>
      <w:bookmarkStart w:id="61" w:name="_Toc49412328"/>
      <w:bookmarkStart w:id="62" w:name="_Toc15377216"/>
      <w:r>
        <w:rPr>
          <w:rFonts w:eastAsia="方正仿宋_GBK"/>
          <w:b/>
          <w:color w:val="000000"/>
          <w:sz w:val="33"/>
          <w:szCs w:val="33"/>
        </w:rPr>
        <w:t>（一）“三公”经费财政拨款支出决算总体情况说明</w:t>
      </w:r>
      <w:bookmarkEnd w:id="61"/>
      <w:bookmarkEnd w:id="62"/>
    </w:p>
    <w:p>
      <w:pPr>
        <w:spacing w:line="590" w:lineRule="exact"/>
        <w:ind w:firstLine="641"/>
        <w:rPr>
          <w:rFonts w:eastAsia="方正仿宋_GBK"/>
          <w:color w:val="000000"/>
          <w:sz w:val="33"/>
          <w:szCs w:val="33"/>
        </w:rPr>
      </w:pPr>
      <w:r>
        <w:rPr>
          <w:rFonts w:hint="eastAsia" w:eastAsia="方正仿宋_GBK"/>
          <w:color w:val="000000"/>
          <w:sz w:val="33"/>
          <w:szCs w:val="33"/>
          <w:lang w:val="en-US" w:eastAsia="zh-CN"/>
        </w:rPr>
        <w:t>2020</w:t>
      </w:r>
      <w:r>
        <w:rPr>
          <w:rFonts w:eastAsia="方正仿宋_GBK"/>
          <w:color w:val="000000"/>
          <w:sz w:val="33"/>
          <w:szCs w:val="33"/>
        </w:rPr>
        <w:t>年“三公”经费财政拨款支出决算为</w:t>
      </w:r>
      <w:r>
        <w:rPr>
          <w:rFonts w:hint="eastAsia" w:eastAsia="方正仿宋_GBK"/>
          <w:color w:val="000000"/>
          <w:sz w:val="33"/>
          <w:szCs w:val="33"/>
          <w:lang w:val="en-US" w:eastAsia="zh-CN"/>
        </w:rPr>
        <w:t>1.98</w:t>
      </w:r>
      <w:r>
        <w:rPr>
          <w:rFonts w:eastAsia="方正仿宋_GBK"/>
          <w:color w:val="000000"/>
          <w:sz w:val="33"/>
          <w:szCs w:val="33"/>
        </w:rPr>
        <w:t>万元，完成预算</w:t>
      </w:r>
      <w:r>
        <w:rPr>
          <w:rFonts w:hint="eastAsia" w:eastAsia="方正仿宋_GBK"/>
          <w:color w:val="000000"/>
          <w:sz w:val="33"/>
          <w:szCs w:val="33"/>
          <w:lang w:val="en-US" w:eastAsia="zh-CN"/>
        </w:rPr>
        <w:t>33</w:t>
      </w:r>
      <w:r>
        <w:rPr>
          <w:rFonts w:eastAsia="方正仿宋_GBK"/>
          <w:color w:val="000000"/>
          <w:sz w:val="33"/>
          <w:szCs w:val="33"/>
        </w:rPr>
        <w:t>%，决算数小于预算数的主要原因是我单位严格按照预算控制公务接待标准。</w:t>
      </w:r>
    </w:p>
    <w:p>
      <w:pPr>
        <w:spacing w:line="590" w:lineRule="exact"/>
        <w:ind w:firstLine="641"/>
        <w:outlineLvl w:val="2"/>
        <w:rPr>
          <w:rFonts w:eastAsia="方正仿宋_GBK"/>
          <w:b/>
          <w:color w:val="000000"/>
          <w:sz w:val="33"/>
          <w:szCs w:val="33"/>
        </w:rPr>
      </w:pPr>
      <w:bookmarkStart w:id="63" w:name="_Toc49412329"/>
      <w:bookmarkStart w:id="64" w:name="_Toc15377217"/>
      <w:r>
        <w:rPr>
          <w:rFonts w:eastAsia="方正仿宋_GBK"/>
          <w:b/>
          <w:color w:val="000000"/>
          <w:sz w:val="33"/>
          <w:szCs w:val="33"/>
        </w:rPr>
        <w:t>（二）“三公”经费财政拨款支出决算具体情况说明</w:t>
      </w:r>
      <w:bookmarkEnd w:id="63"/>
      <w:bookmarkEnd w:id="64"/>
    </w:p>
    <w:p>
      <w:pPr>
        <w:spacing w:line="590" w:lineRule="exact"/>
        <w:ind w:firstLine="641"/>
        <w:rPr>
          <w:rFonts w:eastAsia="方正仿宋_GBK"/>
          <w:color w:val="000000"/>
          <w:sz w:val="33"/>
          <w:szCs w:val="33"/>
        </w:rPr>
      </w:pPr>
      <w:r>
        <w:rPr>
          <w:rFonts w:hint="eastAsia" w:eastAsia="方正仿宋_GBK"/>
          <w:color w:val="000000"/>
          <w:sz w:val="33"/>
          <w:szCs w:val="33"/>
          <w:lang w:val="en-US" w:eastAsia="zh-CN"/>
        </w:rPr>
        <w:t>2020</w:t>
      </w:r>
      <w:r>
        <w:rPr>
          <w:rFonts w:eastAsia="方正仿宋_GBK"/>
          <w:color w:val="000000"/>
          <w:sz w:val="33"/>
          <w:szCs w:val="33"/>
        </w:rPr>
        <w:t>年“三公”经费财政拨款支出决算中，因公出国（境）费支出决算0万元，占0%；公务用车购置及运行维护费支出决算0万元，占0%；公务接待费支出决算</w:t>
      </w:r>
      <w:r>
        <w:rPr>
          <w:rFonts w:hint="eastAsia" w:eastAsia="方正仿宋_GBK"/>
          <w:color w:val="000000"/>
          <w:sz w:val="33"/>
          <w:szCs w:val="33"/>
          <w:lang w:val="en-US" w:eastAsia="zh-CN"/>
        </w:rPr>
        <w:t>1.98</w:t>
      </w:r>
      <w:r>
        <w:rPr>
          <w:rFonts w:eastAsia="方正仿宋_GBK"/>
          <w:color w:val="000000"/>
          <w:sz w:val="33"/>
          <w:szCs w:val="33"/>
        </w:rPr>
        <w:t>万元，占</w:t>
      </w:r>
      <w:r>
        <w:rPr>
          <w:rFonts w:hint="eastAsia" w:eastAsia="方正仿宋_GBK"/>
          <w:color w:val="000000"/>
          <w:sz w:val="33"/>
          <w:szCs w:val="33"/>
          <w:lang w:val="en-US" w:eastAsia="zh-CN"/>
        </w:rPr>
        <w:t>33</w:t>
      </w:r>
      <w:r>
        <w:rPr>
          <w:rFonts w:eastAsia="方正仿宋_GBK"/>
          <w:color w:val="000000"/>
          <w:sz w:val="33"/>
          <w:szCs w:val="33"/>
        </w:rPr>
        <w:t>%。具体情况如下：</w:t>
      </w:r>
    </w:p>
    <w:p>
      <w:pPr>
        <w:ind w:firstLine="640"/>
        <w:rPr>
          <w:rFonts w:ascii="仿宋" w:hAnsi="仿宋" w:eastAsia="仿宋"/>
          <w:color w:val="000000"/>
          <w:sz w:val="32"/>
          <w:szCs w:val="32"/>
        </w:rPr>
      </w:pPr>
      <w:r>
        <w:drawing>
          <wp:inline distT="0" distB="0" distL="114300" distR="114300">
            <wp:extent cx="4572000" cy="2736215"/>
            <wp:effectExtent l="5080" t="4445" r="13970" b="21590"/>
            <wp:docPr id="144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ind w:firstLine="640"/>
        <w:rPr>
          <w:rFonts w:ascii="仿宋" w:hAnsi="仿宋" w:eastAsia="仿宋"/>
          <w:color w:val="000000"/>
          <w:sz w:val="32"/>
          <w:szCs w:val="32"/>
        </w:rPr>
      </w:pPr>
      <w:r>
        <w:rPr>
          <w:rFonts w:hint="eastAsia" w:ascii="仿宋" w:hAnsi="仿宋" w:eastAsia="仿宋"/>
          <w:color w:val="000000"/>
          <w:sz w:val="32"/>
          <w:szCs w:val="32"/>
        </w:rPr>
        <w:t>（图7：“三公”经费财政拨款支出结构）（饼状图）</w:t>
      </w:r>
    </w:p>
    <w:p>
      <w:pPr>
        <w:spacing w:line="590" w:lineRule="exact"/>
        <w:ind w:firstLine="640"/>
        <w:rPr>
          <w:rFonts w:eastAsia="方正仿宋_GBK"/>
          <w:color w:val="000000"/>
          <w:sz w:val="33"/>
          <w:szCs w:val="33"/>
        </w:rPr>
      </w:pPr>
      <w:r>
        <w:rPr>
          <w:rFonts w:eastAsia="方正仿宋_GBK"/>
          <w:b/>
          <w:color w:val="000000"/>
          <w:sz w:val="33"/>
          <w:szCs w:val="33"/>
        </w:rPr>
        <w:t>1.因公出国（境）经费支出</w:t>
      </w:r>
      <w:r>
        <w:rPr>
          <w:rFonts w:eastAsia="方正仿宋_GBK"/>
          <w:color w:val="000000"/>
          <w:sz w:val="33"/>
          <w:szCs w:val="33"/>
        </w:rPr>
        <w:t>0万元，</w:t>
      </w:r>
      <w:r>
        <w:rPr>
          <w:rStyle w:val="14"/>
          <w:rFonts w:eastAsia="方正仿宋_GBK"/>
          <w:b w:val="0"/>
          <w:bCs/>
          <w:color w:val="000000"/>
          <w:sz w:val="33"/>
          <w:szCs w:val="33"/>
        </w:rPr>
        <w:t>完成预算100%。</w:t>
      </w:r>
      <w:r>
        <w:rPr>
          <w:rFonts w:eastAsia="方正仿宋_GBK"/>
          <w:color w:val="000000"/>
          <w:sz w:val="33"/>
          <w:szCs w:val="33"/>
        </w:rPr>
        <w:t>全年安排因公出国（境）团组0次，出国（境）0人。</w:t>
      </w:r>
    </w:p>
    <w:p>
      <w:pPr>
        <w:spacing w:line="590" w:lineRule="exact"/>
        <w:ind w:firstLine="640"/>
        <w:rPr>
          <w:rFonts w:eastAsia="方正仿宋_GBK"/>
          <w:b/>
          <w:color w:val="000000"/>
          <w:sz w:val="33"/>
          <w:szCs w:val="33"/>
        </w:rPr>
      </w:pPr>
      <w:r>
        <w:rPr>
          <w:rFonts w:eastAsia="方正仿宋_GBK"/>
          <w:b/>
          <w:color w:val="000000"/>
          <w:sz w:val="33"/>
          <w:szCs w:val="33"/>
        </w:rPr>
        <w:t>2.公务用车购置及运行维护费支出</w:t>
      </w:r>
      <w:r>
        <w:rPr>
          <w:rFonts w:eastAsia="方正仿宋_GBK"/>
          <w:color w:val="000000"/>
          <w:sz w:val="33"/>
          <w:szCs w:val="33"/>
        </w:rPr>
        <w:t>0万元,</w:t>
      </w:r>
      <w:r>
        <w:rPr>
          <w:rStyle w:val="14"/>
          <w:rFonts w:eastAsia="方正仿宋_GBK"/>
          <w:b w:val="0"/>
          <w:bCs/>
          <w:color w:val="000000"/>
          <w:sz w:val="33"/>
          <w:szCs w:val="33"/>
        </w:rPr>
        <w:t>完成预算100%。</w:t>
      </w:r>
    </w:p>
    <w:p>
      <w:pPr>
        <w:spacing w:line="590" w:lineRule="exact"/>
        <w:ind w:firstLine="660" w:firstLineChars="200"/>
        <w:rPr>
          <w:rFonts w:eastAsia="方正仿宋_GBK"/>
          <w:color w:val="000000"/>
          <w:sz w:val="33"/>
          <w:szCs w:val="33"/>
        </w:rPr>
      </w:pPr>
      <w:r>
        <w:rPr>
          <w:rFonts w:eastAsia="方正仿宋_GBK"/>
          <w:color w:val="000000"/>
          <w:sz w:val="33"/>
          <w:szCs w:val="33"/>
        </w:rPr>
        <w:t>其中：</w:t>
      </w:r>
      <w:r>
        <w:rPr>
          <w:rFonts w:eastAsia="方正仿宋_GBK"/>
          <w:b/>
          <w:color w:val="000000"/>
          <w:sz w:val="33"/>
          <w:szCs w:val="33"/>
        </w:rPr>
        <w:t>公务用车购置支出</w:t>
      </w:r>
      <w:r>
        <w:rPr>
          <w:rFonts w:eastAsia="方正仿宋_GBK"/>
          <w:color w:val="000000"/>
          <w:sz w:val="33"/>
          <w:szCs w:val="33"/>
        </w:rPr>
        <w:t>0万元。全年按规定更新购置公务用车0辆，金额0元。截至</w:t>
      </w:r>
      <w:r>
        <w:rPr>
          <w:rFonts w:hint="eastAsia" w:eastAsia="方正仿宋_GBK"/>
          <w:color w:val="000000"/>
          <w:sz w:val="33"/>
          <w:szCs w:val="33"/>
          <w:lang w:val="en-US" w:eastAsia="zh-CN"/>
        </w:rPr>
        <w:t>2020</w:t>
      </w:r>
      <w:r>
        <w:rPr>
          <w:rFonts w:eastAsia="方正仿宋_GBK"/>
          <w:color w:val="000000"/>
          <w:sz w:val="33"/>
          <w:szCs w:val="33"/>
        </w:rPr>
        <w:t>年12月底，单位共有公务用车0辆。</w:t>
      </w:r>
    </w:p>
    <w:p>
      <w:pPr>
        <w:spacing w:line="590" w:lineRule="exact"/>
        <w:ind w:firstLine="640"/>
        <w:rPr>
          <w:rFonts w:eastAsia="方正仿宋_GBK"/>
          <w:color w:val="000000"/>
          <w:sz w:val="33"/>
          <w:szCs w:val="33"/>
        </w:rPr>
      </w:pPr>
      <w:r>
        <w:rPr>
          <w:rFonts w:eastAsia="方正仿宋_GBK"/>
          <w:b/>
          <w:color w:val="000000"/>
          <w:sz w:val="33"/>
          <w:szCs w:val="33"/>
        </w:rPr>
        <w:t>公务用车运行维护费支出</w:t>
      </w:r>
      <w:r>
        <w:rPr>
          <w:rFonts w:eastAsia="方正仿宋_GBK"/>
          <w:color w:val="000000"/>
          <w:sz w:val="33"/>
          <w:szCs w:val="33"/>
        </w:rPr>
        <w:t>0万元。</w:t>
      </w:r>
    </w:p>
    <w:p>
      <w:pPr>
        <w:numPr>
          <w:ilvl w:val="0"/>
          <w:numId w:val="0"/>
        </w:numPr>
        <w:spacing w:line="240" w:lineRule="auto"/>
        <w:ind w:firstLine="663" w:firstLineChars="200"/>
        <w:rPr>
          <w:rFonts w:eastAsia="方正仿宋_GBK"/>
          <w:color w:val="000000"/>
          <w:sz w:val="33"/>
          <w:szCs w:val="33"/>
        </w:rPr>
      </w:pPr>
      <w:r>
        <w:rPr>
          <w:rFonts w:hint="eastAsia" w:eastAsia="方正仿宋_GBK"/>
          <w:b/>
          <w:color w:val="000000"/>
          <w:sz w:val="33"/>
          <w:szCs w:val="33"/>
          <w:lang w:val="en-US" w:eastAsia="zh-CN"/>
        </w:rPr>
        <w:t>3.公务</w:t>
      </w:r>
      <w:r>
        <w:rPr>
          <w:rFonts w:eastAsia="方正仿宋_GBK"/>
          <w:b/>
          <w:color w:val="000000"/>
          <w:sz w:val="33"/>
          <w:szCs w:val="33"/>
        </w:rPr>
        <w:t>接待费支出</w:t>
      </w:r>
      <w:r>
        <w:rPr>
          <w:rFonts w:hint="eastAsia" w:eastAsia="方正仿宋_GBK"/>
          <w:color w:val="000000"/>
          <w:sz w:val="33"/>
          <w:szCs w:val="33"/>
          <w:lang w:val="en-US" w:eastAsia="zh-CN"/>
        </w:rPr>
        <w:t>1.98</w:t>
      </w:r>
      <w:r>
        <w:rPr>
          <w:rFonts w:eastAsia="方正仿宋_GBK"/>
          <w:color w:val="000000"/>
          <w:sz w:val="33"/>
          <w:szCs w:val="33"/>
        </w:rPr>
        <w:t>万元，</w:t>
      </w:r>
      <w:r>
        <w:rPr>
          <w:rStyle w:val="14"/>
          <w:rFonts w:eastAsia="方正仿宋_GBK"/>
          <w:b w:val="0"/>
          <w:bCs/>
          <w:color w:val="000000"/>
          <w:sz w:val="33"/>
          <w:szCs w:val="33"/>
        </w:rPr>
        <w:t>完成预算</w:t>
      </w:r>
      <w:r>
        <w:rPr>
          <w:rStyle w:val="14"/>
          <w:rFonts w:hint="eastAsia" w:eastAsia="方正仿宋_GBK"/>
          <w:b w:val="0"/>
          <w:bCs/>
          <w:color w:val="000000"/>
          <w:sz w:val="33"/>
          <w:szCs w:val="33"/>
          <w:lang w:val="en-US" w:eastAsia="zh-CN"/>
        </w:rPr>
        <w:t>25</w:t>
      </w:r>
      <w:r>
        <w:rPr>
          <w:rStyle w:val="14"/>
          <w:rFonts w:eastAsia="方正仿宋_GBK"/>
          <w:b w:val="0"/>
          <w:bCs/>
          <w:color w:val="000000"/>
          <w:sz w:val="33"/>
          <w:szCs w:val="33"/>
        </w:rPr>
        <w:t>%。</w:t>
      </w:r>
      <w:r>
        <w:rPr>
          <w:rFonts w:eastAsia="方正仿宋_GBK"/>
          <w:color w:val="000000"/>
          <w:sz w:val="33"/>
          <w:szCs w:val="33"/>
        </w:rPr>
        <w:t>公务接待费支出决算比</w:t>
      </w:r>
      <w:r>
        <w:rPr>
          <w:rFonts w:hint="eastAsia" w:eastAsia="方正仿宋_GBK"/>
          <w:color w:val="000000"/>
          <w:sz w:val="33"/>
          <w:szCs w:val="33"/>
          <w:lang w:val="en-US" w:eastAsia="zh-CN"/>
        </w:rPr>
        <w:t>2019</w:t>
      </w:r>
      <w:r>
        <w:rPr>
          <w:rFonts w:eastAsia="方正仿宋_GBK"/>
          <w:color w:val="000000"/>
          <w:sz w:val="33"/>
          <w:szCs w:val="33"/>
        </w:rPr>
        <w:t>年</w:t>
      </w:r>
      <w:r>
        <w:rPr>
          <w:rFonts w:hint="eastAsia" w:eastAsia="方正仿宋_GBK"/>
          <w:color w:val="000000"/>
          <w:sz w:val="33"/>
          <w:szCs w:val="33"/>
          <w:lang w:val="en-US" w:eastAsia="zh-CN"/>
        </w:rPr>
        <w:t>减少3.78</w:t>
      </w:r>
      <w:r>
        <w:rPr>
          <w:rFonts w:eastAsia="方正仿宋_GBK"/>
          <w:color w:val="000000"/>
          <w:sz w:val="33"/>
          <w:szCs w:val="33"/>
        </w:rPr>
        <w:t>万元，</w:t>
      </w:r>
      <w:r>
        <w:rPr>
          <w:rFonts w:hint="eastAsia" w:eastAsia="方正仿宋_GBK"/>
          <w:color w:val="000000"/>
          <w:sz w:val="33"/>
          <w:szCs w:val="33"/>
          <w:lang w:val="en-US" w:eastAsia="zh-CN"/>
        </w:rPr>
        <w:t>减少66</w:t>
      </w:r>
      <w:r>
        <w:rPr>
          <w:rFonts w:eastAsia="方正仿宋_GBK"/>
          <w:color w:val="000000"/>
          <w:sz w:val="33"/>
          <w:szCs w:val="33"/>
        </w:rPr>
        <w:t>%。主要原因是我单位严格按照预算控制公务接待标准。</w:t>
      </w:r>
    </w:p>
    <w:p>
      <w:pPr>
        <w:numPr>
          <w:ilvl w:val="0"/>
          <w:numId w:val="0"/>
        </w:numPr>
        <w:spacing w:line="590" w:lineRule="exact"/>
        <w:ind w:firstLine="330" w:firstLineChars="100"/>
        <w:rPr>
          <w:rFonts w:eastAsia="方正仿宋_GBK"/>
          <w:color w:val="000000"/>
          <w:sz w:val="33"/>
          <w:szCs w:val="33"/>
        </w:rPr>
      </w:pPr>
      <w:r>
        <w:rPr>
          <w:rFonts w:eastAsia="方正仿宋_GBK"/>
          <w:color w:val="000000"/>
          <w:sz w:val="33"/>
          <w:szCs w:val="33"/>
        </w:rPr>
        <w:t>其中：</w:t>
      </w:r>
      <w:r>
        <w:rPr>
          <w:rFonts w:eastAsia="方正仿宋_GBK"/>
          <w:b/>
          <w:color w:val="000000"/>
          <w:sz w:val="33"/>
          <w:szCs w:val="33"/>
        </w:rPr>
        <w:t>国内公务接待支出</w:t>
      </w:r>
      <w:r>
        <w:rPr>
          <w:rFonts w:hint="eastAsia" w:eastAsia="方正仿宋_GBK"/>
          <w:color w:val="000000"/>
          <w:sz w:val="33"/>
          <w:szCs w:val="33"/>
          <w:lang w:val="en-US" w:eastAsia="zh-CN"/>
        </w:rPr>
        <w:t>1.98</w:t>
      </w:r>
      <w:r>
        <w:rPr>
          <w:rFonts w:eastAsia="方正仿宋_GBK"/>
          <w:color w:val="000000"/>
          <w:sz w:val="33"/>
          <w:szCs w:val="33"/>
        </w:rPr>
        <w:t>万元，主要用于单位日常工作、迎检等业务活动开支的交通费、住宿费、用餐费等。国内公务接待</w:t>
      </w:r>
      <w:r>
        <w:rPr>
          <w:rFonts w:hint="eastAsia" w:eastAsia="方正仿宋_GBK"/>
          <w:color w:val="000000"/>
          <w:sz w:val="33"/>
          <w:szCs w:val="33"/>
          <w:lang w:val="en-US" w:eastAsia="zh-CN"/>
        </w:rPr>
        <w:t>11</w:t>
      </w:r>
      <w:r>
        <w:rPr>
          <w:rFonts w:eastAsia="方正仿宋_GBK"/>
          <w:color w:val="000000"/>
          <w:sz w:val="33"/>
          <w:szCs w:val="33"/>
        </w:rPr>
        <w:t>批次，</w:t>
      </w:r>
      <w:r>
        <w:rPr>
          <w:rFonts w:hint="eastAsia" w:eastAsia="方正仿宋_GBK"/>
          <w:color w:val="000000"/>
          <w:sz w:val="33"/>
          <w:szCs w:val="33"/>
          <w:lang w:val="en-US" w:eastAsia="zh-CN"/>
        </w:rPr>
        <w:t>221</w:t>
      </w:r>
      <w:r>
        <w:rPr>
          <w:rFonts w:eastAsia="方正仿宋_GBK"/>
          <w:color w:val="000000"/>
          <w:sz w:val="33"/>
          <w:szCs w:val="33"/>
        </w:rPr>
        <w:t>人次（不包括陪同人员），共计支出</w:t>
      </w:r>
      <w:r>
        <w:rPr>
          <w:rFonts w:hint="eastAsia" w:eastAsia="方正仿宋_GBK"/>
          <w:color w:val="000000"/>
          <w:sz w:val="33"/>
          <w:szCs w:val="33"/>
          <w:lang w:val="en-US" w:eastAsia="zh-CN"/>
        </w:rPr>
        <w:t>1.98</w:t>
      </w:r>
      <w:r>
        <w:rPr>
          <w:rFonts w:eastAsia="方正仿宋_GBK"/>
          <w:color w:val="000000"/>
          <w:sz w:val="33"/>
          <w:szCs w:val="33"/>
        </w:rPr>
        <w:t>万元，具体内容包括：上级检查、督办工作，工作调研及其他市州县学习、考察、交流工作支出。</w:t>
      </w:r>
    </w:p>
    <w:p>
      <w:pPr>
        <w:spacing w:line="590" w:lineRule="exact"/>
        <w:ind w:firstLine="663" w:firstLineChars="200"/>
        <w:rPr>
          <w:rFonts w:ascii="仿宋_GB2312" w:eastAsia="仿宋_GB2312"/>
          <w:color w:val="000000" w:themeColor="text1"/>
          <w:sz w:val="32"/>
          <w:szCs w:val="32"/>
        </w:rPr>
      </w:pPr>
      <w:r>
        <w:rPr>
          <w:rFonts w:eastAsia="方正仿宋_GBK"/>
          <w:b/>
          <w:color w:val="000000"/>
          <w:sz w:val="33"/>
          <w:szCs w:val="33"/>
        </w:rPr>
        <w:t>外事接待支出</w:t>
      </w:r>
      <w:r>
        <w:rPr>
          <w:rFonts w:eastAsia="方正仿宋_GBK"/>
          <w:color w:val="000000"/>
          <w:sz w:val="33"/>
          <w:szCs w:val="33"/>
        </w:rPr>
        <w:t>0万元</w:t>
      </w:r>
      <w:r>
        <w:rPr>
          <w:rFonts w:eastAsia="方正仿宋_GBK"/>
          <w:color w:val="000000" w:themeColor="text1"/>
          <w:sz w:val="33"/>
          <w:szCs w:val="33"/>
        </w:rPr>
        <w:t>，外事接待0批次，0人，共计支出0万元。</w:t>
      </w:r>
      <w:bookmarkStart w:id="65" w:name="_Toc15396610"/>
      <w:bookmarkStart w:id="66" w:name="_Toc15377218"/>
    </w:p>
    <w:p>
      <w:pPr>
        <w:tabs>
          <w:tab w:val="right" w:pos="8306"/>
        </w:tabs>
        <w:ind w:firstLine="640"/>
        <w:outlineLvl w:val="1"/>
        <w:rPr>
          <w:rFonts w:ascii="方正楷体_GBK" w:eastAsia="方正楷体_GBK"/>
          <w:b/>
          <w:bCs/>
          <w:color w:val="000000"/>
          <w:sz w:val="33"/>
          <w:szCs w:val="33"/>
        </w:rPr>
      </w:pPr>
      <w:bookmarkStart w:id="67" w:name="_Toc49412330"/>
      <w:r>
        <w:rPr>
          <w:rFonts w:hint="eastAsia" w:ascii="方正楷体_GBK" w:eastAsia="方正楷体_GBK"/>
          <w:b/>
          <w:color w:val="000000"/>
          <w:sz w:val="33"/>
          <w:szCs w:val="33"/>
        </w:rPr>
        <w:t>八、</w:t>
      </w:r>
      <w:r>
        <w:rPr>
          <w:rFonts w:hint="eastAsia" w:ascii="方正楷体_GBK" w:eastAsia="方正楷体_GBK"/>
          <w:b/>
          <w:bCs/>
          <w:color w:val="000000"/>
          <w:sz w:val="33"/>
          <w:szCs w:val="33"/>
        </w:rPr>
        <w:t>政府性基金预算支出决算情况说明</w:t>
      </w:r>
      <w:bookmarkEnd w:id="65"/>
      <w:bookmarkEnd w:id="66"/>
      <w:bookmarkEnd w:id="67"/>
    </w:p>
    <w:p>
      <w:pPr>
        <w:ind w:firstLine="640"/>
        <w:rPr>
          <w:rFonts w:eastAsia="方正仿宋_GBK"/>
          <w:color w:val="000000"/>
          <w:sz w:val="33"/>
          <w:szCs w:val="33"/>
        </w:rPr>
      </w:pPr>
      <w:r>
        <w:rPr>
          <w:rFonts w:hint="eastAsia" w:eastAsia="方正仿宋_GBK"/>
          <w:color w:val="000000"/>
          <w:sz w:val="33"/>
          <w:szCs w:val="33"/>
          <w:lang w:val="en-US" w:eastAsia="zh-CN"/>
        </w:rPr>
        <w:t>2020</w:t>
      </w:r>
      <w:r>
        <w:rPr>
          <w:rFonts w:eastAsia="方正仿宋_GBK"/>
          <w:color w:val="000000"/>
          <w:sz w:val="33"/>
          <w:szCs w:val="33"/>
        </w:rPr>
        <w:t>年政府性基金预算拨款支出</w:t>
      </w:r>
      <w:r>
        <w:rPr>
          <w:rFonts w:hint="eastAsia" w:eastAsia="方正仿宋_GBK"/>
          <w:color w:val="000000"/>
          <w:sz w:val="33"/>
          <w:szCs w:val="33"/>
          <w:lang w:val="en-US" w:eastAsia="zh-CN"/>
        </w:rPr>
        <w:t>729.98</w:t>
      </w:r>
      <w:r>
        <w:rPr>
          <w:rFonts w:eastAsia="方正仿宋_GBK"/>
          <w:color w:val="000000"/>
          <w:sz w:val="33"/>
          <w:szCs w:val="33"/>
        </w:rPr>
        <w:t>万元。</w:t>
      </w:r>
    </w:p>
    <w:p>
      <w:pPr>
        <w:numPr>
          <w:ilvl w:val="0"/>
          <w:numId w:val="2"/>
        </w:numPr>
        <w:ind w:firstLine="640"/>
        <w:outlineLvl w:val="1"/>
        <w:rPr>
          <w:rStyle w:val="26"/>
          <w:rFonts w:ascii="方正楷体_GBK" w:hAnsi="黑体" w:eastAsia="方正楷体_GBK"/>
          <w:sz w:val="33"/>
          <w:szCs w:val="33"/>
        </w:rPr>
      </w:pPr>
      <w:bookmarkStart w:id="68" w:name="_Toc49412331"/>
      <w:bookmarkStart w:id="69" w:name="_Toc15396611"/>
      <w:bookmarkStart w:id="70" w:name="_Toc15377219"/>
      <w:r>
        <w:rPr>
          <w:rStyle w:val="26"/>
          <w:rFonts w:hint="eastAsia" w:ascii="方正楷体_GBK" w:hAnsi="黑体" w:eastAsia="方正楷体_GBK"/>
          <w:sz w:val="33"/>
          <w:szCs w:val="33"/>
        </w:rPr>
        <w:t>国有资本经营预算支出决算情况说明</w:t>
      </w:r>
      <w:bookmarkEnd w:id="68"/>
      <w:bookmarkEnd w:id="69"/>
      <w:bookmarkEnd w:id="70"/>
    </w:p>
    <w:p>
      <w:pPr>
        <w:ind w:firstLine="640"/>
        <w:rPr>
          <w:rFonts w:eastAsia="方正仿宋_GBK"/>
          <w:color w:val="000000"/>
          <w:sz w:val="33"/>
          <w:szCs w:val="33"/>
        </w:rPr>
      </w:pPr>
      <w:r>
        <w:rPr>
          <w:rFonts w:hint="eastAsia" w:eastAsia="方正仿宋_GBK"/>
          <w:color w:val="000000"/>
          <w:sz w:val="33"/>
          <w:szCs w:val="33"/>
          <w:lang w:val="en-US" w:eastAsia="zh-CN"/>
        </w:rPr>
        <w:t>2020</w:t>
      </w:r>
      <w:r>
        <w:rPr>
          <w:rFonts w:eastAsia="方正仿宋_GBK"/>
          <w:color w:val="000000"/>
          <w:sz w:val="33"/>
          <w:szCs w:val="33"/>
        </w:rPr>
        <w:t>年国有资本经营预算拨款支出0万元。</w:t>
      </w:r>
    </w:p>
    <w:p>
      <w:pPr>
        <w:ind w:firstLine="660" w:firstLineChars="200"/>
        <w:outlineLvl w:val="1"/>
        <w:rPr>
          <w:rStyle w:val="26"/>
          <w:rFonts w:ascii="方正楷体_GBK" w:hAnsi="黑体" w:eastAsia="方正楷体_GBK"/>
          <w:sz w:val="33"/>
          <w:szCs w:val="33"/>
        </w:rPr>
      </w:pPr>
      <w:bookmarkStart w:id="71" w:name="_Toc49412332"/>
      <w:bookmarkStart w:id="72" w:name="_Toc15396612"/>
      <w:bookmarkStart w:id="73" w:name="_Toc15377221"/>
      <w:r>
        <w:rPr>
          <w:rFonts w:hint="eastAsia" w:ascii="方正楷体_GBK" w:hAnsi="黑体" w:eastAsia="方正楷体_GBK"/>
          <w:color w:val="000000"/>
          <w:sz w:val="33"/>
          <w:szCs w:val="33"/>
        </w:rPr>
        <w:t>十</w:t>
      </w:r>
      <w:r>
        <w:rPr>
          <w:rStyle w:val="26"/>
          <w:rFonts w:hint="eastAsia" w:ascii="方正楷体_GBK" w:hAnsi="黑体" w:eastAsia="方正楷体_GBK"/>
          <w:sz w:val="33"/>
          <w:szCs w:val="33"/>
        </w:rPr>
        <w:t>、其他重要事项的情况说明</w:t>
      </w:r>
      <w:bookmarkEnd w:id="71"/>
      <w:bookmarkEnd w:id="72"/>
      <w:bookmarkEnd w:id="73"/>
    </w:p>
    <w:p>
      <w:pPr>
        <w:spacing w:line="590" w:lineRule="exact"/>
        <w:ind w:firstLine="663" w:firstLineChars="200"/>
        <w:outlineLvl w:val="2"/>
        <w:rPr>
          <w:rFonts w:eastAsia="方正仿宋_GBK"/>
          <w:color w:val="000000"/>
          <w:sz w:val="33"/>
          <w:szCs w:val="33"/>
        </w:rPr>
      </w:pPr>
      <w:bookmarkStart w:id="74" w:name="_Toc49412333"/>
      <w:bookmarkStart w:id="75" w:name="_Toc15377222"/>
      <w:r>
        <w:rPr>
          <w:rFonts w:eastAsia="方正仿宋_GBK"/>
          <w:b/>
          <w:color w:val="000000"/>
          <w:sz w:val="33"/>
          <w:szCs w:val="33"/>
        </w:rPr>
        <w:t>（一）机关运行经费支出情况</w:t>
      </w:r>
      <w:bookmarkEnd w:id="74"/>
      <w:bookmarkEnd w:id="75"/>
    </w:p>
    <w:p>
      <w:pPr>
        <w:spacing w:line="590" w:lineRule="exact"/>
        <w:ind w:firstLine="660" w:firstLineChars="200"/>
        <w:rPr>
          <w:rFonts w:eastAsia="方正仿宋_GBK"/>
          <w:color w:val="000000" w:themeColor="text1"/>
          <w:sz w:val="33"/>
          <w:szCs w:val="33"/>
        </w:rPr>
      </w:pPr>
      <w:r>
        <w:rPr>
          <w:rFonts w:hint="eastAsia" w:eastAsia="方正仿宋_GBK"/>
          <w:color w:val="000000"/>
          <w:sz w:val="33"/>
          <w:szCs w:val="33"/>
          <w:lang w:val="en-US" w:eastAsia="zh-CN"/>
        </w:rPr>
        <w:t>2020</w:t>
      </w:r>
      <w:r>
        <w:rPr>
          <w:rFonts w:eastAsia="方正仿宋_GBK"/>
          <w:color w:val="000000"/>
          <w:sz w:val="33"/>
          <w:szCs w:val="33"/>
        </w:rPr>
        <w:t>年，我局机关运行经费支出</w:t>
      </w:r>
      <w:r>
        <w:rPr>
          <w:rFonts w:hint="eastAsia" w:eastAsia="方正仿宋_GBK"/>
          <w:color w:val="000000"/>
          <w:sz w:val="33"/>
          <w:szCs w:val="33"/>
          <w:lang w:val="en-US" w:eastAsia="zh-CN"/>
        </w:rPr>
        <w:t>213.69</w:t>
      </w:r>
      <w:r>
        <w:rPr>
          <w:rFonts w:eastAsia="方正仿宋_GBK"/>
          <w:color w:val="000000"/>
          <w:sz w:val="33"/>
          <w:szCs w:val="33"/>
        </w:rPr>
        <w:t>万元，比</w:t>
      </w:r>
      <w:r>
        <w:rPr>
          <w:rFonts w:hint="eastAsia" w:eastAsia="方正仿宋_GBK"/>
          <w:color w:val="000000"/>
          <w:sz w:val="33"/>
          <w:szCs w:val="33"/>
          <w:lang w:val="en-US" w:eastAsia="zh-CN"/>
        </w:rPr>
        <w:t>2019</w:t>
      </w:r>
      <w:r>
        <w:rPr>
          <w:rFonts w:eastAsia="方正仿宋_GBK"/>
          <w:color w:val="000000"/>
          <w:sz w:val="33"/>
          <w:szCs w:val="33"/>
        </w:rPr>
        <w:t>年增加</w:t>
      </w:r>
      <w:r>
        <w:rPr>
          <w:rFonts w:hint="eastAsia" w:eastAsia="方正仿宋_GBK"/>
          <w:color w:val="000000"/>
          <w:sz w:val="33"/>
          <w:szCs w:val="33"/>
          <w:lang w:val="en-US" w:eastAsia="zh-CN"/>
        </w:rPr>
        <w:t>309.06</w:t>
      </w:r>
      <w:r>
        <w:rPr>
          <w:rFonts w:eastAsia="方正仿宋_GBK"/>
          <w:color w:val="000000"/>
          <w:sz w:val="33"/>
          <w:szCs w:val="33"/>
        </w:rPr>
        <w:t>万元，增长</w:t>
      </w:r>
      <w:r>
        <w:rPr>
          <w:rFonts w:hint="eastAsia" w:eastAsia="方正仿宋_GBK"/>
          <w:color w:val="000000"/>
          <w:sz w:val="33"/>
          <w:szCs w:val="33"/>
          <w:lang w:val="en-US" w:eastAsia="zh-CN"/>
        </w:rPr>
        <w:t>31</w:t>
      </w:r>
      <w:r>
        <w:rPr>
          <w:rFonts w:eastAsia="方正仿宋_GBK"/>
          <w:color w:val="000000"/>
          <w:sz w:val="33"/>
          <w:szCs w:val="33"/>
        </w:rPr>
        <w:t>%。</w:t>
      </w:r>
      <w:r>
        <w:rPr>
          <w:rFonts w:eastAsia="方正仿宋_GBK"/>
          <w:color w:val="000000" w:themeColor="text1"/>
          <w:sz w:val="33"/>
          <w:szCs w:val="33"/>
        </w:rPr>
        <w:t>主要原因是我局2019年新增基层平台建设、干部人事档案数字化建设等工作</w:t>
      </w:r>
      <w:r>
        <w:rPr>
          <w:rFonts w:hint="eastAsia" w:eastAsia="方正仿宋_GBK"/>
          <w:color w:val="000000" w:themeColor="text1"/>
          <w:sz w:val="33"/>
          <w:szCs w:val="33"/>
          <w:lang w:val="en-US" w:eastAsia="zh-CN"/>
        </w:rPr>
        <w:t>,2020年无建设资金支出</w:t>
      </w:r>
      <w:r>
        <w:rPr>
          <w:rFonts w:eastAsia="方正仿宋_GBK"/>
          <w:color w:val="000000" w:themeColor="text1"/>
          <w:sz w:val="33"/>
          <w:szCs w:val="33"/>
        </w:rPr>
        <w:t>。</w:t>
      </w:r>
    </w:p>
    <w:p>
      <w:pPr>
        <w:autoSpaceDE w:val="0"/>
        <w:autoSpaceDN w:val="0"/>
        <w:adjustRightInd w:val="0"/>
        <w:spacing w:line="590" w:lineRule="exact"/>
        <w:ind w:firstLine="663" w:firstLineChars="200"/>
        <w:jc w:val="left"/>
        <w:outlineLvl w:val="2"/>
        <w:rPr>
          <w:rFonts w:eastAsia="方正仿宋_GBK"/>
          <w:b/>
          <w:color w:val="000000"/>
          <w:sz w:val="33"/>
          <w:szCs w:val="33"/>
        </w:rPr>
      </w:pPr>
      <w:bookmarkStart w:id="76" w:name="_Toc49412334"/>
      <w:bookmarkStart w:id="77" w:name="_Toc15377223"/>
      <w:r>
        <w:rPr>
          <w:rFonts w:eastAsia="方正仿宋_GBK"/>
          <w:b/>
          <w:color w:val="000000"/>
          <w:sz w:val="33"/>
          <w:szCs w:val="33"/>
        </w:rPr>
        <w:t>（二）政府采购支出情况</w:t>
      </w:r>
      <w:bookmarkEnd w:id="76"/>
      <w:bookmarkEnd w:id="77"/>
    </w:p>
    <w:p>
      <w:pPr>
        <w:spacing w:line="590" w:lineRule="exact"/>
        <w:ind w:firstLine="660" w:firstLineChars="200"/>
        <w:rPr>
          <w:rFonts w:eastAsia="方正仿宋_GBK"/>
          <w:color w:val="000000"/>
          <w:sz w:val="33"/>
          <w:szCs w:val="33"/>
        </w:rPr>
      </w:pPr>
      <w:r>
        <w:rPr>
          <w:rFonts w:hint="eastAsia" w:eastAsia="方正仿宋_GBK"/>
          <w:color w:val="000000"/>
          <w:sz w:val="33"/>
          <w:szCs w:val="33"/>
          <w:lang w:val="en-US" w:eastAsia="zh-CN"/>
        </w:rPr>
        <w:t>2020</w:t>
      </w:r>
      <w:r>
        <w:rPr>
          <w:rFonts w:eastAsia="方正仿宋_GBK"/>
          <w:color w:val="000000"/>
          <w:sz w:val="33"/>
          <w:szCs w:val="33"/>
        </w:rPr>
        <w:t>年，政府采购支出总额</w:t>
      </w:r>
      <w:r>
        <w:rPr>
          <w:rFonts w:hint="eastAsia" w:eastAsia="方正仿宋_GBK"/>
          <w:color w:val="000000"/>
          <w:sz w:val="33"/>
          <w:szCs w:val="33"/>
        </w:rPr>
        <w:t>0</w:t>
      </w:r>
      <w:r>
        <w:rPr>
          <w:rFonts w:eastAsia="方正仿宋_GBK"/>
          <w:color w:val="000000"/>
          <w:sz w:val="33"/>
          <w:szCs w:val="33"/>
        </w:rPr>
        <w:t>万元，其中：政府采购货物支出</w:t>
      </w:r>
      <w:r>
        <w:rPr>
          <w:rFonts w:hint="eastAsia" w:eastAsia="方正仿宋_GBK"/>
          <w:color w:val="000000"/>
          <w:sz w:val="33"/>
          <w:szCs w:val="33"/>
        </w:rPr>
        <w:t>0</w:t>
      </w:r>
      <w:r>
        <w:rPr>
          <w:rFonts w:eastAsia="方正仿宋_GBK"/>
          <w:color w:val="000000"/>
          <w:sz w:val="33"/>
          <w:szCs w:val="33"/>
        </w:rPr>
        <w:t>万元、政府采购工程支出0万元、政府采购服务支出</w:t>
      </w:r>
      <w:r>
        <w:rPr>
          <w:rFonts w:hint="eastAsia" w:eastAsia="方正仿宋_GBK"/>
          <w:color w:val="000000"/>
          <w:sz w:val="33"/>
          <w:szCs w:val="33"/>
          <w:lang w:val="en-US" w:eastAsia="zh-CN"/>
        </w:rPr>
        <w:t>0</w:t>
      </w:r>
      <w:r>
        <w:rPr>
          <w:rFonts w:eastAsia="方正仿宋_GBK"/>
          <w:color w:val="000000"/>
          <w:sz w:val="33"/>
          <w:szCs w:val="33"/>
        </w:rPr>
        <w:t>万元。</w:t>
      </w:r>
      <w:r>
        <w:rPr>
          <w:rFonts w:hint="eastAsia" w:eastAsia="方正仿宋_GBK"/>
          <w:color w:val="000000"/>
          <w:sz w:val="33"/>
          <w:szCs w:val="33"/>
        </w:rPr>
        <w:t>主要用于印刷服务、干部人事档案数字化建设录入。</w:t>
      </w:r>
      <w:r>
        <w:rPr>
          <w:rFonts w:eastAsia="方正仿宋_GBK"/>
          <w:color w:val="000000"/>
          <w:sz w:val="33"/>
          <w:szCs w:val="33"/>
        </w:rPr>
        <w:t>授予中小企业合同金额0万元，占政府采购支出总额的0%，其中：授予小微企业合同金额0万元，占政府采购支出总额的0%。</w:t>
      </w:r>
    </w:p>
    <w:p>
      <w:pPr>
        <w:autoSpaceDE w:val="0"/>
        <w:autoSpaceDN w:val="0"/>
        <w:adjustRightInd w:val="0"/>
        <w:spacing w:line="590" w:lineRule="exact"/>
        <w:ind w:firstLine="663" w:firstLineChars="200"/>
        <w:jc w:val="left"/>
        <w:outlineLvl w:val="2"/>
        <w:rPr>
          <w:rFonts w:eastAsia="方正仿宋_GBK"/>
          <w:b/>
          <w:color w:val="000000"/>
          <w:sz w:val="33"/>
          <w:szCs w:val="33"/>
        </w:rPr>
      </w:pPr>
      <w:bookmarkStart w:id="78" w:name="_Toc49412335"/>
      <w:bookmarkStart w:id="79" w:name="_Toc15377224"/>
      <w:r>
        <w:rPr>
          <w:rFonts w:eastAsia="方正仿宋_GBK"/>
          <w:b/>
          <w:color w:val="000000"/>
          <w:sz w:val="33"/>
          <w:szCs w:val="33"/>
        </w:rPr>
        <w:t>（三）国有资产占有使用情况</w:t>
      </w:r>
      <w:bookmarkEnd w:id="78"/>
      <w:bookmarkEnd w:id="79"/>
    </w:p>
    <w:p>
      <w:pPr>
        <w:autoSpaceDE w:val="0"/>
        <w:autoSpaceDN w:val="0"/>
        <w:adjustRightInd w:val="0"/>
        <w:spacing w:line="590" w:lineRule="exact"/>
        <w:ind w:firstLine="660" w:firstLineChars="200"/>
        <w:jc w:val="left"/>
        <w:rPr>
          <w:rFonts w:hint="eastAsia" w:eastAsia="方正仿宋_GBK"/>
          <w:b/>
          <w:color w:val="FF0000"/>
          <w:sz w:val="33"/>
          <w:szCs w:val="33"/>
          <w:lang w:eastAsia="zh-CN"/>
        </w:rPr>
      </w:pPr>
      <w:r>
        <w:rPr>
          <w:rFonts w:eastAsia="方正仿宋_GBK"/>
          <w:color w:val="000000"/>
          <w:sz w:val="33"/>
          <w:szCs w:val="33"/>
        </w:rPr>
        <w:t>截至</w:t>
      </w:r>
      <w:r>
        <w:rPr>
          <w:rFonts w:hint="eastAsia" w:eastAsia="方正仿宋_GBK"/>
          <w:color w:val="000000"/>
          <w:sz w:val="33"/>
          <w:szCs w:val="33"/>
          <w:lang w:val="en-US" w:eastAsia="zh-CN"/>
        </w:rPr>
        <w:t>2020</w:t>
      </w:r>
      <w:r>
        <w:rPr>
          <w:rFonts w:eastAsia="方正仿宋_GBK"/>
          <w:color w:val="000000"/>
          <w:sz w:val="33"/>
          <w:szCs w:val="33"/>
        </w:rPr>
        <w:t>年12月31日，我局共有车辆</w:t>
      </w:r>
      <w:r>
        <w:rPr>
          <w:rFonts w:hint="eastAsia" w:eastAsia="方正仿宋_GBK"/>
          <w:color w:val="000000"/>
          <w:sz w:val="33"/>
          <w:szCs w:val="33"/>
          <w:lang w:val="en-US" w:eastAsia="zh-CN"/>
        </w:rPr>
        <w:t>0</w:t>
      </w:r>
      <w:r>
        <w:rPr>
          <w:rFonts w:eastAsia="方正仿宋_GBK"/>
          <w:color w:val="000000"/>
          <w:sz w:val="33"/>
          <w:szCs w:val="33"/>
        </w:rPr>
        <w:t>辆</w:t>
      </w:r>
      <w:r>
        <w:rPr>
          <w:rFonts w:hint="eastAsia" w:eastAsia="方正仿宋_GBK"/>
          <w:color w:val="000000"/>
          <w:sz w:val="33"/>
          <w:szCs w:val="33"/>
          <w:lang w:eastAsia="zh-CN"/>
        </w:rPr>
        <w:t>。</w:t>
      </w:r>
    </w:p>
    <w:p>
      <w:pPr>
        <w:autoSpaceDE w:val="0"/>
        <w:autoSpaceDN w:val="0"/>
        <w:adjustRightInd w:val="0"/>
        <w:spacing w:line="590" w:lineRule="exact"/>
        <w:ind w:firstLine="663" w:firstLineChars="200"/>
        <w:jc w:val="left"/>
        <w:outlineLvl w:val="2"/>
        <w:rPr>
          <w:rFonts w:eastAsia="方正仿宋_GBK"/>
          <w:b/>
          <w:color w:val="000000"/>
          <w:sz w:val="33"/>
          <w:szCs w:val="33"/>
        </w:rPr>
      </w:pPr>
      <w:bookmarkStart w:id="80" w:name="_Toc49412336"/>
      <w:r>
        <w:rPr>
          <w:rFonts w:eastAsia="方正仿宋_GBK"/>
          <w:b/>
          <w:color w:val="000000"/>
          <w:sz w:val="33"/>
          <w:szCs w:val="33"/>
        </w:rPr>
        <w:t>（四）预算绩效管理情况。</w:t>
      </w:r>
      <w:bookmarkEnd w:id="80"/>
    </w:p>
    <w:p>
      <w:pPr>
        <w:spacing w:line="590" w:lineRule="exact"/>
        <w:ind w:firstLine="660" w:firstLineChars="200"/>
        <w:rPr>
          <w:rFonts w:eastAsia="方正仿宋_GBK"/>
          <w:sz w:val="33"/>
          <w:szCs w:val="33"/>
        </w:rPr>
      </w:pPr>
      <w:r>
        <w:rPr>
          <w:rFonts w:eastAsia="方正仿宋_GBK"/>
          <w:sz w:val="33"/>
          <w:szCs w:val="33"/>
        </w:rPr>
        <w:t>根据预算绩效管理要求，本部门（单位）在年初预算编制阶段，组织对项目开展了预算事前绩效评估，对13个项目编制了绩效目标，预算执行过程中，选取13个项目开展绩效监控，年终执行完毕后，对13个项目开展了绩效目标完成情况自评。</w:t>
      </w:r>
    </w:p>
    <w:p>
      <w:pPr>
        <w:spacing w:line="590" w:lineRule="exact"/>
        <w:ind w:firstLine="660" w:firstLineChars="200"/>
        <w:rPr>
          <w:rFonts w:eastAsia="方正仿宋_GBK"/>
          <w:sz w:val="33"/>
          <w:szCs w:val="33"/>
        </w:rPr>
      </w:pPr>
      <w:r>
        <w:rPr>
          <w:rFonts w:eastAsia="方正仿宋_GBK"/>
          <w:sz w:val="33"/>
          <w:szCs w:val="33"/>
        </w:rPr>
        <w:t>本部门按要求对</w:t>
      </w:r>
      <w:r>
        <w:rPr>
          <w:rFonts w:hint="eastAsia" w:eastAsia="方正仿宋_GBK"/>
          <w:sz w:val="33"/>
          <w:szCs w:val="33"/>
          <w:lang w:val="en-US" w:eastAsia="zh-CN"/>
        </w:rPr>
        <w:t>2020</w:t>
      </w:r>
      <w:r>
        <w:rPr>
          <w:rFonts w:eastAsia="方正仿宋_GBK"/>
          <w:sz w:val="33"/>
          <w:szCs w:val="33"/>
        </w:rPr>
        <w:t>年部门整体支出开展绩效自评，从评价情况来看项目评价指标不够细化，存在费用分类不合理的现象。由于财务人员人手不足，本部门未自行组织对项目开展了绩效评价。</w:t>
      </w:r>
    </w:p>
    <w:p>
      <w:pPr>
        <w:spacing w:line="590" w:lineRule="exact"/>
        <w:ind w:firstLine="660" w:firstLineChars="200"/>
        <w:rPr>
          <w:rFonts w:eastAsia="方正仿宋_GBK"/>
          <w:sz w:val="33"/>
          <w:szCs w:val="33"/>
        </w:rPr>
      </w:pPr>
      <w:r>
        <w:rPr>
          <w:rFonts w:eastAsia="方正仿宋_GBK"/>
          <w:sz w:val="33"/>
          <w:szCs w:val="33"/>
        </w:rPr>
        <w:t>1.项目绩效目标完成情况。</w:t>
      </w:r>
      <w:r>
        <w:rPr>
          <w:rFonts w:eastAsia="方正仿宋_GBK"/>
          <w:sz w:val="33"/>
          <w:szCs w:val="33"/>
        </w:rPr>
        <w:br w:type="textWrapping"/>
      </w:r>
      <w:r>
        <w:rPr>
          <w:rFonts w:eastAsia="方正仿宋_GBK"/>
          <w:sz w:val="33"/>
          <w:szCs w:val="33"/>
        </w:rPr>
        <w:t xml:space="preserve">    本部门在</w:t>
      </w:r>
      <w:r>
        <w:rPr>
          <w:rFonts w:hint="eastAsia" w:eastAsia="方正仿宋_GBK"/>
          <w:sz w:val="33"/>
          <w:szCs w:val="33"/>
          <w:lang w:val="en-US" w:eastAsia="zh-CN"/>
        </w:rPr>
        <w:t>2020</w:t>
      </w:r>
      <w:r>
        <w:rPr>
          <w:rFonts w:eastAsia="方正仿宋_GBK"/>
          <w:sz w:val="33"/>
          <w:szCs w:val="33"/>
        </w:rPr>
        <w:t>年度部门决算中反映“事业单位</w:t>
      </w:r>
      <w:r>
        <w:rPr>
          <w:rFonts w:hint="eastAsia" w:eastAsia="方正仿宋_GBK"/>
          <w:sz w:val="33"/>
          <w:szCs w:val="33"/>
          <w:lang w:val="en-US" w:eastAsia="zh-CN"/>
        </w:rPr>
        <w:t>工作人员招聘考核</w:t>
      </w:r>
      <w:r>
        <w:rPr>
          <w:rFonts w:eastAsia="方正仿宋_GBK"/>
          <w:sz w:val="33"/>
          <w:szCs w:val="33"/>
        </w:rPr>
        <w:t>”“政务服务中心劳动保障分中心午餐补助” “社保基金管理和人社服务能力建设”“网络线路租赁维护费”“ 人力资源社会保障情况调查工作经费”等5个项目绩效目标实际完成情况。（本单位部门项目绩效目标个数在5个以上的，选取5个项目进行公开，目标个数在5个以下的，全部进行公开，公开内容包括选取的全部项目完成情况综述和完成情况表）。</w:t>
      </w:r>
    </w:p>
    <w:p>
      <w:pPr>
        <w:spacing w:line="590" w:lineRule="exact"/>
        <w:ind w:firstLine="660" w:firstLineChars="200"/>
        <w:rPr>
          <w:rFonts w:eastAsia="方正仿宋_GBK"/>
          <w:sz w:val="33"/>
          <w:szCs w:val="33"/>
        </w:rPr>
      </w:pPr>
      <w:r>
        <w:rPr>
          <w:rFonts w:eastAsia="方正仿宋_GBK"/>
          <w:sz w:val="33"/>
          <w:szCs w:val="33"/>
        </w:rPr>
        <w:t>（1）事业单位公开招聘工作人员考务费项目绩效目标完成情况综述。项目全年预算数</w:t>
      </w:r>
      <w:r>
        <w:rPr>
          <w:rFonts w:hint="eastAsia" w:eastAsia="方正仿宋_GBK"/>
          <w:sz w:val="33"/>
          <w:szCs w:val="33"/>
          <w:lang w:val="en-US" w:eastAsia="zh-CN"/>
        </w:rPr>
        <w:t>20</w:t>
      </w:r>
      <w:r>
        <w:rPr>
          <w:rFonts w:eastAsia="方正仿宋_GBK"/>
          <w:sz w:val="33"/>
          <w:szCs w:val="33"/>
        </w:rPr>
        <w:t>万元，执行数为</w:t>
      </w:r>
      <w:r>
        <w:rPr>
          <w:rFonts w:hint="eastAsia" w:eastAsia="方正仿宋_GBK"/>
          <w:sz w:val="33"/>
          <w:szCs w:val="33"/>
          <w:lang w:val="en-US" w:eastAsia="zh-CN"/>
        </w:rPr>
        <w:t>20</w:t>
      </w:r>
      <w:r>
        <w:rPr>
          <w:rFonts w:eastAsia="方正仿宋_GBK"/>
          <w:sz w:val="33"/>
          <w:szCs w:val="33"/>
        </w:rPr>
        <w:t>万元，完成预算的100%。通过项目实施，保障公开招聘工作人员充实到我县各综合、卫生、教育等事业单位,并按照按规定组织实施笔试面试考核、考察等招聘程序，保证考试公开公平安全，发现的主要问题：无。下一步改进措施：无。</w:t>
      </w:r>
    </w:p>
    <w:p>
      <w:pPr>
        <w:spacing w:line="590" w:lineRule="exact"/>
        <w:ind w:firstLine="660" w:firstLineChars="200"/>
        <w:rPr>
          <w:rFonts w:eastAsia="方正仿宋_GBK"/>
          <w:sz w:val="33"/>
          <w:szCs w:val="33"/>
        </w:rPr>
      </w:pPr>
      <w:r>
        <w:rPr>
          <w:rFonts w:eastAsia="方正仿宋_GBK"/>
          <w:sz w:val="33"/>
          <w:szCs w:val="33"/>
        </w:rPr>
        <w:t>（2）政务服务中心劳动保障分中心午餐补助项目绩效目标完成情况综述。项目全年预算数</w:t>
      </w:r>
      <w:r>
        <w:rPr>
          <w:rFonts w:hint="eastAsia" w:eastAsia="方正仿宋_GBK"/>
          <w:sz w:val="33"/>
          <w:szCs w:val="33"/>
          <w:lang w:val="en-US" w:eastAsia="zh-CN"/>
        </w:rPr>
        <w:t>13</w:t>
      </w:r>
      <w:r>
        <w:rPr>
          <w:rFonts w:eastAsia="方正仿宋_GBK"/>
          <w:sz w:val="33"/>
          <w:szCs w:val="33"/>
        </w:rPr>
        <w:t>万元，执行数为</w:t>
      </w:r>
      <w:r>
        <w:rPr>
          <w:rFonts w:hint="eastAsia" w:eastAsia="方正仿宋_GBK"/>
          <w:sz w:val="33"/>
          <w:szCs w:val="33"/>
          <w:lang w:val="en-US" w:eastAsia="zh-CN"/>
        </w:rPr>
        <w:t>13</w:t>
      </w:r>
      <w:r>
        <w:rPr>
          <w:rFonts w:eastAsia="方正仿宋_GBK"/>
          <w:sz w:val="33"/>
          <w:szCs w:val="33"/>
        </w:rPr>
        <w:t>万元，完成预算的100%。通过项目实施，保障全局职工午餐，发现的主要问题：无。下一步改进措施：无。</w:t>
      </w:r>
    </w:p>
    <w:p>
      <w:pPr>
        <w:spacing w:line="590" w:lineRule="exact"/>
        <w:ind w:firstLine="660" w:firstLineChars="200"/>
        <w:rPr>
          <w:rFonts w:eastAsia="方正仿宋_GBK"/>
          <w:sz w:val="33"/>
          <w:szCs w:val="33"/>
        </w:rPr>
      </w:pPr>
      <w:r>
        <w:rPr>
          <w:rFonts w:eastAsia="方正仿宋_GBK"/>
          <w:sz w:val="33"/>
          <w:szCs w:val="33"/>
        </w:rPr>
        <w:t>（3）社保基金管理和人社服务能力建设项目绩效目标完成情况综述。项目全年预算数</w:t>
      </w:r>
      <w:r>
        <w:rPr>
          <w:rFonts w:hint="eastAsia" w:eastAsia="方正仿宋_GBK"/>
          <w:sz w:val="33"/>
          <w:szCs w:val="33"/>
          <w:lang w:val="en-US" w:eastAsia="zh-CN"/>
        </w:rPr>
        <w:t>42</w:t>
      </w:r>
      <w:r>
        <w:rPr>
          <w:rFonts w:eastAsia="方正仿宋_GBK"/>
          <w:sz w:val="33"/>
          <w:szCs w:val="33"/>
        </w:rPr>
        <w:t>万元，执行数为</w:t>
      </w:r>
      <w:r>
        <w:rPr>
          <w:rFonts w:hint="eastAsia" w:eastAsia="方正仿宋_GBK"/>
          <w:sz w:val="33"/>
          <w:szCs w:val="33"/>
          <w:lang w:val="en-US" w:eastAsia="zh-CN"/>
        </w:rPr>
        <w:t>42</w:t>
      </w:r>
      <w:r>
        <w:rPr>
          <w:rFonts w:eastAsia="方正仿宋_GBK"/>
          <w:sz w:val="33"/>
          <w:szCs w:val="33"/>
        </w:rPr>
        <w:t>万元，完成预算的100%。通过项目实施，保障人社公共服务体系建设，养老保险基金征缴管理，社会保险基金预决算管理，发现的主要问题：无。下一步改进措施：无。</w:t>
      </w:r>
    </w:p>
    <w:p>
      <w:pPr>
        <w:spacing w:line="590" w:lineRule="exact"/>
        <w:ind w:firstLine="660" w:firstLineChars="200"/>
        <w:rPr>
          <w:rFonts w:eastAsia="方正仿宋_GBK"/>
          <w:sz w:val="33"/>
          <w:szCs w:val="33"/>
        </w:rPr>
      </w:pPr>
      <w:r>
        <w:rPr>
          <w:rFonts w:eastAsia="方正仿宋_GBK"/>
          <w:sz w:val="33"/>
          <w:szCs w:val="33"/>
        </w:rPr>
        <w:t>（4）网络线路租赁维护费项目绩效目标完成情况综述。项目全年预算数82.8万元，执行数为82.8万元，完成预算的100%。通过项目实施，保障县、乡（镇）、行政村（社区）人社公共服务平台网络建设力度，金保工程网络维护，网络、资金和个人信息安全，发现的主要问题：无。下一步改进措施：无。</w:t>
      </w:r>
    </w:p>
    <w:p>
      <w:pPr>
        <w:spacing w:line="590" w:lineRule="exact"/>
        <w:ind w:firstLine="660" w:firstLineChars="200"/>
        <w:rPr>
          <w:rFonts w:ascii="仿宋_GB2312" w:hAnsi="仿宋_GB2312" w:eastAsia="仿宋_GB2312" w:cs="仿宋_GB2312"/>
          <w:sz w:val="32"/>
          <w:szCs w:val="32"/>
        </w:rPr>
      </w:pPr>
      <w:r>
        <w:rPr>
          <w:rFonts w:eastAsia="方正仿宋_GBK"/>
          <w:sz w:val="33"/>
          <w:szCs w:val="33"/>
        </w:rPr>
        <w:t>（5）人力资源社会保障情况调查工作经费项目绩效目标完成情况综述。项目全年预算数</w:t>
      </w:r>
      <w:r>
        <w:rPr>
          <w:rFonts w:hint="eastAsia" w:eastAsia="方正仿宋_GBK"/>
          <w:sz w:val="33"/>
          <w:szCs w:val="33"/>
          <w:lang w:val="en-US" w:eastAsia="zh-CN"/>
        </w:rPr>
        <w:t>5</w:t>
      </w:r>
      <w:r>
        <w:rPr>
          <w:rFonts w:eastAsia="方正仿宋_GBK"/>
          <w:sz w:val="33"/>
          <w:szCs w:val="33"/>
        </w:rPr>
        <w:t>万元，执行数为</w:t>
      </w:r>
      <w:r>
        <w:rPr>
          <w:rFonts w:hint="eastAsia" w:eastAsia="方正仿宋_GBK"/>
          <w:sz w:val="33"/>
          <w:szCs w:val="33"/>
          <w:lang w:val="en-US" w:eastAsia="zh-CN"/>
        </w:rPr>
        <w:t>5</w:t>
      </w:r>
      <w:r>
        <w:rPr>
          <w:rFonts w:eastAsia="方正仿宋_GBK"/>
          <w:sz w:val="33"/>
          <w:szCs w:val="33"/>
        </w:rPr>
        <w:t>万元，完成预算的100%。通过项目实施，保障人力资源和基本情况调查工作顺利开展，有利于摸清城乡居民在就业、专业技术和职业技能、职业构成、社会保险、劳动关系、公时、休假、劳动收入、权益维护及劳动人事争议处理等方面情况，发现的主要问题：无。下一步改进措施：无。</w:t>
      </w:r>
    </w:p>
    <w:p>
      <w:pPr>
        <w:ind w:firstLine="640" w:firstLineChars="200"/>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方正黑体_GBK" w:hAnsi="黑体" w:eastAsia="方正黑体_GBK"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 xml:space="preserve"> 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仿宋_GB2312" w:cs="宋体"/>
                <w:color w:val="000000"/>
                <w:sz w:val="24"/>
                <w:lang w:val="en-US" w:eastAsia="zh-CN"/>
              </w:rPr>
            </w:pPr>
            <w:r>
              <w:rPr>
                <w:rFonts w:hint="eastAsia" w:ascii="仿宋_GB2312" w:hAnsi="仿宋_GB2312" w:eastAsia="仿宋_GB2312" w:cs="仿宋_GB2312"/>
                <w:sz w:val="24"/>
              </w:rPr>
              <w:t>事业单位</w:t>
            </w:r>
            <w:r>
              <w:rPr>
                <w:rFonts w:hint="eastAsia" w:ascii="仿宋_GB2312" w:hAnsi="仿宋_GB2312" w:eastAsia="仿宋_GB2312" w:cs="仿宋_GB2312"/>
                <w:sz w:val="24"/>
                <w:lang w:val="en-US" w:eastAsia="zh-CN"/>
              </w:rPr>
              <w:t>工作人员招聘考核</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武胜县人力资源和社会保障局</w:t>
            </w:r>
          </w:p>
        </w:tc>
      </w:tr>
      <w:tr>
        <w:tblPrEx>
          <w:tblCellMar>
            <w:top w:w="0" w:type="dxa"/>
            <w:left w:w="0" w:type="dxa"/>
            <w:bottom w:w="0" w:type="dxa"/>
            <w:right w:w="0" w:type="dxa"/>
          </w:tblCellMar>
        </w:tblPrEx>
        <w:trPr>
          <w:trHeight w:val="30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w:t>
            </w:r>
            <w:r>
              <w:rPr>
                <w:rFonts w:hint="eastAsia" w:ascii="宋体" w:hAnsi="宋体" w:cs="宋体"/>
                <w:color w:val="000000"/>
                <w:sz w:val="24"/>
              </w:rPr>
              <w:t>万元</w:t>
            </w: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w:t>
            </w:r>
            <w:r>
              <w:rPr>
                <w:rFonts w:hint="eastAsia" w:ascii="宋体" w:hAnsi="宋体" w:cs="宋体"/>
                <w:color w:val="000000"/>
                <w:sz w:val="24"/>
              </w:rPr>
              <w:t>万元</w:t>
            </w: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r>
              <w:rPr>
                <w:rFonts w:hint="eastAsia" w:ascii="宋体" w:hAnsi="宋体" w:cs="宋体"/>
                <w:color w:val="000000"/>
                <w:sz w:val="24"/>
              </w:rPr>
              <w:t>0</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公开招聘工作人员充实到我县各综合、卫生、教育等事业单位。按规定组织实施笔试面试考核等招聘程序，保证考试公开公平安全。</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w:t>
            </w:r>
            <w:r>
              <w:rPr>
                <w:rFonts w:hint="eastAsia" w:ascii="宋体" w:hAnsi="宋体" w:cs="宋体"/>
                <w:color w:val="000000"/>
                <w:sz w:val="24"/>
                <w:lang w:val="en-US" w:eastAsia="zh-CN"/>
              </w:rPr>
              <w:t>2020</w:t>
            </w:r>
            <w:r>
              <w:rPr>
                <w:rFonts w:hint="eastAsia" w:ascii="宋体" w:hAnsi="宋体" w:cs="宋体"/>
                <w:color w:val="000000"/>
                <w:sz w:val="24"/>
              </w:rPr>
              <w:t>年事业人员招聘考试工作</w:t>
            </w: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招聘事业人员</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完成招聘</w:t>
            </w:r>
            <w:r>
              <w:rPr>
                <w:rFonts w:hint="eastAsia" w:ascii="宋体" w:hAnsi="宋体" w:cs="宋体"/>
                <w:color w:val="000000"/>
                <w:sz w:val="24"/>
                <w:lang w:val="en-US" w:eastAsia="zh-CN"/>
              </w:rPr>
              <w:t>332</w:t>
            </w:r>
            <w:r>
              <w:rPr>
                <w:rFonts w:hint="eastAsia" w:ascii="宋体" w:hAnsi="宋体" w:cs="宋体"/>
                <w:color w:val="000000"/>
                <w:sz w:val="24"/>
              </w:rPr>
              <w:t>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sz w:val="24"/>
                <w:szCs w:val="24"/>
                <w:lang w:val="en-US" w:eastAsia="zh-CN"/>
              </w:rPr>
              <w:t>2</w:t>
            </w:r>
            <w:r>
              <w:rPr>
                <w:rFonts w:ascii="宋体" w:hAnsi="宋体" w:eastAsia="宋体" w:cs="宋体"/>
                <w:sz w:val="24"/>
                <w:szCs w:val="24"/>
              </w:rPr>
              <w:t>020年事业单位公开招聘考试工作，招聘教育类、卫生类、综合类人员共206人。协助县人才办引进高层次人才27名，考核招聘卫生专技人员55名，考核招聘贫困地区定向医学专科生5人，安置2020届农村订单定向免费医学毕业生3名，考核招聘1名援鄂非事业编制医护人员到武胜县人民医院工作，聘用35名2020年服务期满特岗教师为正式编制教师。</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程序规范有序、人才评价合理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公开公平安全，选拔优秀人才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公开公平安全，选拔优秀人才</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2020</w:t>
            </w:r>
            <w:r>
              <w:rPr>
                <w:rFonts w:hint="eastAsia" w:ascii="宋体" w:hAnsi="宋体" w:cs="宋体"/>
                <w:color w:val="000000"/>
                <w:sz w:val="24"/>
              </w:rPr>
              <w:t>年底前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2020</w:t>
            </w:r>
            <w:r>
              <w:rPr>
                <w:rFonts w:hint="eastAsia" w:ascii="宋体" w:hAnsi="宋体" w:cs="宋体"/>
                <w:color w:val="000000"/>
                <w:sz w:val="24"/>
              </w:rPr>
              <w:t>年底前</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评审工作人员劳务费、车辆租赁费、考务费、试卷费、考察差旅费等</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合计</w:t>
            </w:r>
            <w:r>
              <w:rPr>
                <w:rFonts w:hint="eastAsia" w:ascii="宋体" w:hAnsi="宋体" w:cs="宋体"/>
                <w:color w:val="000000"/>
                <w:sz w:val="24"/>
                <w:lang w:val="en-US" w:eastAsia="zh-CN"/>
              </w:rPr>
              <w:t>20</w:t>
            </w:r>
            <w:r>
              <w:rPr>
                <w:rFonts w:hint="eastAsia" w:ascii="宋体" w:hAns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合计</w:t>
            </w:r>
            <w:r>
              <w:rPr>
                <w:rFonts w:hint="eastAsia" w:ascii="宋体" w:hAnsi="宋体" w:cs="宋体"/>
                <w:color w:val="000000"/>
                <w:sz w:val="24"/>
                <w:lang w:val="en-US" w:eastAsia="zh-CN"/>
              </w:rPr>
              <w:t>20</w:t>
            </w:r>
            <w:r>
              <w:rPr>
                <w:rFonts w:hint="eastAsia" w:ascii="宋体" w:hAnsi="宋体" w:cs="宋体"/>
                <w:color w:val="000000"/>
                <w:sz w:val="24"/>
              </w:rPr>
              <w:t>万元</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对工作的促进作用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充实干部人才队伍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充实干部人才队伍</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可持续影响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人才在各岗位发挥其专业特长</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用人单位、招聘人员</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r>
    </w:tbl>
    <w:p>
      <w:pPr>
        <w:rPr>
          <w:rFonts w:ascii="Calibri" w:hAnsi="Calibri"/>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仿宋_GB2312" w:hAnsi="仿宋_GB2312" w:eastAsia="仿宋_GB2312" w:cs="仿宋_GB2312"/>
                <w:sz w:val="32"/>
                <w:szCs w:val="32"/>
              </w:rPr>
              <w:t>政务服务中心劳动保障分中心午餐补助</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武胜县人力资源和社会保障局</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r>
              <w:rPr>
                <w:rFonts w:hint="eastAsia" w:ascii="宋体" w:hAnsi="宋体" w:cs="宋体"/>
                <w:color w:val="000000"/>
                <w:sz w:val="24"/>
              </w:rPr>
              <w:t>0</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保障全局职工午餐</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保障全局职工午餐</w:t>
            </w: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就餐人数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140人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142人</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午餐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足量供应</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足量供应</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全年</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全年</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菜肉米面油、食堂工作人员工资保险费等</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13</w:t>
            </w:r>
            <w:r>
              <w:rPr>
                <w:rFonts w:hint="eastAsia" w:ascii="宋体" w:hAnsi="宋体" w:cs="宋体"/>
                <w:color w:val="000000"/>
                <w:sz w:val="24"/>
              </w:rPr>
              <w:t>万元</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保障人社工作正常运转</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保障人社工作正常运转</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保障人社工作正常运转</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可持续性</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供应时间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r>
      <w:tr>
        <w:tblPrEx>
          <w:tblCellMar>
            <w:top w:w="0" w:type="dxa"/>
            <w:left w:w="0" w:type="dxa"/>
            <w:bottom w:w="0" w:type="dxa"/>
            <w:right w:w="0" w:type="dxa"/>
          </w:tblCellMar>
        </w:tblPrEx>
        <w:trPr>
          <w:trHeight w:val="105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全体干部职工</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r>
      <w:tr>
        <w:tblPrEx>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仿宋_GB2312" w:hAnsi="仿宋_GB2312" w:eastAsia="仿宋_GB2312" w:cs="仿宋_GB2312"/>
                <w:sz w:val="32"/>
                <w:szCs w:val="32"/>
              </w:rPr>
              <w:t>社保基金管理和人社服务能力建设</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武胜县人力资源和社会保障局</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50万元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50万元</w:t>
            </w: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42</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42</w:t>
            </w:r>
            <w:r>
              <w:rPr>
                <w:rFonts w:hint="eastAsia" w:ascii="宋体" w:hAnsi="宋体" w:cs="宋体"/>
                <w:color w:val="000000"/>
                <w:sz w:val="24"/>
              </w:rPr>
              <w:t>万元</w:t>
            </w: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r>
              <w:rPr>
                <w:rFonts w:hint="eastAsia" w:ascii="宋体" w:hAnsi="宋体" w:cs="宋体"/>
                <w:color w:val="000000"/>
                <w:sz w:val="24"/>
              </w:rPr>
              <w:t>0</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做好人社公共服务体系建设，养老保险基金征缴管理，社会保险基金预决算管理。完成全年目标任务。</w:t>
            </w:r>
          </w:p>
          <w:p>
            <w:pPr>
              <w:widowControl/>
              <w:jc w:val="center"/>
              <w:textAlignment w:val="center"/>
              <w:rPr>
                <w:rFonts w:ascii="宋体" w:hAnsi="宋体" w:cs="宋体"/>
                <w:color w:val="000000"/>
                <w:sz w:val="24"/>
              </w:rPr>
            </w:pP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做好了人社公共服务体系建设，养老保险基金征缴管理，社会保险基金预决算管理。完成了全年目标任务。</w:t>
            </w:r>
          </w:p>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基层平台</w:t>
            </w:r>
          </w:p>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31个乡镇、44个社区、515个行政村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highlight w:val="none"/>
                <w:lang w:eastAsia="zh-CN"/>
              </w:rPr>
            </w:pPr>
            <w:r>
              <w:rPr>
                <w:rFonts w:hint="eastAsia" w:ascii="宋体" w:hAnsi="宋体" w:cs="宋体"/>
                <w:color w:val="000000"/>
                <w:sz w:val="24"/>
                <w:highlight w:val="none"/>
                <w:lang w:val="en-US" w:eastAsia="zh-CN"/>
              </w:rPr>
              <w:t>23</w:t>
            </w:r>
            <w:r>
              <w:rPr>
                <w:rFonts w:hint="eastAsia" w:ascii="宋体" w:hAnsi="宋体" w:cs="宋体"/>
                <w:color w:val="000000"/>
                <w:sz w:val="24"/>
                <w:highlight w:val="none"/>
              </w:rPr>
              <w:t>个乡镇、</w:t>
            </w:r>
            <w:r>
              <w:rPr>
                <w:rFonts w:hint="eastAsia" w:ascii="宋体" w:hAnsi="宋体" w:cs="宋体"/>
                <w:color w:val="000000"/>
                <w:sz w:val="24"/>
                <w:highlight w:val="none"/>
                <w:lang w:val="en-US" w:eastAsia="zh-CN"/>
              </w:rPr>
              <w:t>48</w:t>
            </w:r>
            <w:r>
              <w:rPr>
                <w:rFonts w:hint="eastAsia" w:ascii="宋体" w:hAnsi="宋体" w:cs="宋体"/>
                <w:color w:val="000000"/>
                <w:sz w:val="24"/>
                <w:highlight w:val="none"/>
              </w:rPr>
              <w:t>个社区、</w:t>
            </w:r>
            <w:r>
              <w:rPr>
                <w:rFonts w:hint="eastAsia" w:ascii="宋体" w:hAnsi="宋体" w:cs="宋体"/>
                <w:color w:val="000000"/>
                <w:sz w:val="24"/>
                <w:highlight w:val="none"/>
                <w:lang w:val="en-US" w:eastAsia="zh-CN"/>
              </w:rPr>
              <w:t>276</w:t>
            </w:r>
            <w:r>
              <w:rPr>
                <w:rFonts w:hint="eastAsia" w:ascii="宋体" w:hAnsi="宋体" w:cs="宋体"/>
                <w:color w:val="000000"/>
                <w:sz w:val="24"/>
                <w:highlight w:val="none"/>
              </w:rPr>
              <w:t>个行政村</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因机构改革，合乡并镇，基层平台数据变动</w:t>
            </w:r>
            <w:r>
              <w:rPr>
                <w:rFonts w:hint="eastAsia" w:ascii="宋体" w:hAnsi="宋体" w:cs="宋体"/>
                <w:color w:val="000000"/>
                <w:sz w:val="24"/>
                <w:highlight w:val="none"/>
                <w:lang w:eastAsia="zh-CN"/>
              </w:rPr>
              <w:t>）</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养老保险基金征缴管理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color w:val="000000"/>
                <w:sz w:val="24"/>
                <w:lang w:val="en-US" w:eastAsia="zh-CN"/>
              </w:rPr>
              <w:t>完成2020年全县职工养老保险覆盖人数4.9万人，城乡居保覆盖人数26.07万人。对40户参保单位开展现场稽核检查。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完成全年目标</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社会保险基金预决算管理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基金预算编制报表报送及时、数据质量准确、编报说明详细、收支预算编制质量明显提高、基金预算执行和决算管理工作规范、预算执行及决算报表的编报及时、准确、收支预算执行进度合理、预算编制准确、基金预算监督管理、财务管理、专户管理等基础工作规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社会保险基金预决算准确及时上报</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基层平台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全县基层平台建设达标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全县基层平台建设达标</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全年</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全年</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基层平台建设、养老保险基金征缴管理、社会保险基金预决算管理设备购置、培训费、宣传费等</w:t>
            </w:r>
          </w:p>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42</w:t>
            </w:r>
            <w:r>
              <w:rPr>
                <w:rFonts w:hint="eastAsia" w:ascii="宋体" w:hAns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42</w:t>
            </w:r>
            <w:r>
              <w:rPr>
                <w:rFonts w:hint="eastAsia" w:ascii="宋体" w:hAnsi="宋体" w:cs="宋体"/>
                <w:color w:val="000000"/>
                <w:sz w:val="24"/>
              </w:rPr>
              <w:t>万元</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经济效益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人社公共服务体系</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全面建设群众满意的人社公共服务体系是加快转变政府职能、提高政府效率的重要内容</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全面建设群众满意的人社公共服务体系是加快转变政府职能、提高政府效率的重要内容</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经济效益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社保基金管理</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保障全县参保人员正常参保，保障基金正常运行。</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保障全县参保人员正常参保，保障基金正常运行。</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保障全县参保人员正常参保</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有益于稳定就业人员，保障人民基本生活</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有益于稳定就业人员，保障人民基本生活</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可持续性</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建设群众满意的人社服务体系，保障基金安全具有长期性。</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r>
      <w:tr>
        <w:tblPrEx>
          <w:tblCellMar>
            <w:top w:w="0" w:type="dxa"/>
            <w:left w:w="0" w:type="dxa"/>
            <w:bottom w:w="0" w:type="dxa"/>
            <w:right w:w="0" w:type="dxa"/>
          </w:tblCellMar>
        </w:tblPrEx>
        <w:trPr>
          <w:trHeight w:val="105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全面建设群众满意的人社公共服务体系</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90%</w:t>
            </w:r>
          </w:p>
        </w:tc>
      </w:tr>
      <w:tr>
        <w:tblPrEx>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仿宋_GB2312" w:hAnsi="仿宋_GB2312" w:eastAsia="仿宋_GB2312" w:cs="仿宋_GB2312"/>
                <w:sz w:val="32"/>
                <w:szCs w:val="32"/>
              </w:rPr>
              <w:t>网络线路租赁维护费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武胜县人力资源和社会保障局</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r>
              <w:rPr>
                <w:rFonts w:hint="eastAsia" w:ascii="宋体" w:hAnsi="宋体" w:cs="宋体"/>
                <w:color w:val="000000"/>
                <w:sz w:val="24"/>
              </w:rPr>
              <w:t>0</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加大县、乡（镇）、行政村（社区）人社公共服务平台网络建设力度，做好金保工程网络维护，确保网络、资金和个人信息安全</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保障县、乡（镇）、行政村（社区）人社公共服务平台网络建设力度，做好金保工程网络维护，确保网络、资金和个人信息安全</w:t>
            </w: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县级平台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1个</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我县乡镇、行政村、社区、服务平台网点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590个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590个</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全力加快金保网延伸，在原先延伸至乡镇、社区的基础上，延伸至全县所有村级服务站</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2020</w:t>
            </w:r>
            <w:r>
              <w:rPr>
                <w:rFonts w:hint="eastAsia" w:ascii="宋体" w:hAnsi="宋体" w:cs="宋体"/>
                <w:color w:val="000000"/>
                <w:sz w:val="24"/>
              </w:rPr>
              <w:t>年12月前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2020</w:t>
            </w:r>
            <w:r>
              <w:rPr>
                <w:rFonts w:hint="eastAsia" w:ascii="宋体" w:hAnsi="宋体" w:cs="宋体"/>
                <w:color w:val="000000"/>
                <w:sz w:val="24"/>
              </w:rPr>
              <w:t>年12月前</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各网点网络租赁维护费</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82.8万元</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经济效益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网络、资金和个人信息</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网络、资金和个人信息安全</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网络、资金和个人信息安全</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对工作的促进作用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实现更多人社业务就近便捷办理，不断增强群众的获得感、幸福感和满意度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实现更多人社业务就近便捷办理，不断增强群众的获得感、幸福感和满意度</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可持续性</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网络使用年限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长期</w:t>
            </w:r>
          </w:p>
        </w:tc>
      </w:tr>
      <w:tr>
        <w:tblPrEx>
          <w:tblCellMar>
            <w:top w:w="0" w:type="dxa"/>
            <w:left w:w="0" w:type="dxa"/>
            <w:bottom w:w="0" w:type="dxa"/>
            <w:right w:w="0" w:type="dxa"/>
          </w:tblCellMar>
        </w:tblPrEx>
        <w:trPr>
          <w:trHeight w:val="105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网络使用部门满意度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r>
    </w:tbl>
    <w:p>
      <w:pPr>
        <w:rPr>
          <w:rFonts w:ascii="Calibri" w:hAnsi="Calibri"/>
        </w:rPr>
      </w:pPr>
    </w:p>
    <w:tbl>
      <w:tblPr>
        <w:tblStyle w:val="12"/>
        <w:tblpPr w:leftFromText="180" w:rightFromText="180" w:vertAnchor="text" w:horzAnchor="page" w:tblpXSpec="center" w:tblpY="423"/>
        <w:tblOverlap w:val="never"/>
        <w:tblW w:w="9960" w:type="dxa"/>
        <w:tblInd w:w="0" w:type="dxa"/>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 xml:space="preserve"> 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仿宋_GB2312" w:hAnsi="仿宋_GB2312" w:eastAsia="仿宋_GB2312" w:cs="仿宋_GB2312"/>
                <w:sz w:val="32"/>
                <w:szCs w:val="32"/>
              </w:rPr>
              <w:t>人力资源社会保障情况调查工作经费</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武胜县人力资源和社会保障局</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w:t>
            </w:r>
            <w:r>
              <w:rPr>
                <w:rFonts w:hint="eastAsia" w:ascii="宋体" w:hAnsi="宋体" w:cs="宋体"/>
                <w:color w:val="000000"/>
                <w:sz w:val="24"/>
              </w:rPr>
              <w:t>万元</w:t>
            </w: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w:t>
            </w:r>
            <w:r>
              <w:rPr>
                <w:rFonts w:hint="eastAsia" w:ascii="宋体" w:hAnsi="宋体" w:cs="宋体"/>
                <w:color w:val="000000"/>
                <w:sz w:val="24"/>
              </w:rPr>
              <w:t>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5</w:t>
            </w:r>
            <w:r>
              <w:rPr>
                <w:rFonts w:hint="eastAsia" w:ascii="宋体" w:hAnsi="宋体" w:cs="宋体"/>
                <w:color w:val="000000"/>
                <w:sz w:val="24"/>
              </w:rPr>
              <w:t>万元</w:t>
            </w: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r>
              <w:rPr>
                <w:rFonts w:hint="eastAsia" w:ascii="宋体" w:hAnsi="宋体" w:cs="宋体"/>
                <w:color w:val="000000"/>
                <w:sz w:val="24"/>
              </w:rPr>
              <w:t>0</w:t>
            </w: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完成每年人力资源和社会保障基本情况调查</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w:t>
            </w:r>
            <w:r>
              <w:rPr>
                <w:rFonts w:hint="eastAsia" w:ascii="宋体" w:hAnsi="宋体" w:cs="宋体"/>
                <w:color w:val="000000"/>
                <w:sz w:val="24"/>
                <w:lang w:val="en-US" w:eastAsia="zh-CN"/>
              </w:rPr>
              <w:t>2020</w:t>
            </w:r>
            <w:r>
              <w:rPr>
                <w:rFonts w:hint="eastAsia" w:ascii="宋体" w:hAnsi="宋体" w:cs="宋体"/>
                <w:color w:val="000000"/>
                <w:sz w:val="24"/>
              </w:rPr>
              <w:t>年人力资源和社会保障基本情况调查</w:t>
            </w: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完成市局抽查人数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约500人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完成450人</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按文件规定完成</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按文件规定完成</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按文件规定完成</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调查时间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11月底前完成</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11月底前完成</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成本指标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入户调查人员劳务费、入户纪念品、问卷印刷费、培训费、交通费等</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共计</w:t>
            </w:r>
            <w:r>
              <w:rPr>
                <w:rFonts w:hint="eastAsia" w:ascii="宋体" w:hAnsi="宋体" w:cs="宋体"/>
                <w:color w:val="000000"/>
                <w:sz w:val="24"/>
                <w:lang w:val="en-US" w:eastAsia="zh-CN"/>
              </w:rPr>
              <w:t>5</w:t>
            </w:r>
            <w:r>
              <w:rPr>
                <w:rFonts w:hint="eastAsia" w:ascii="宋体" w:hAnsi="宋体" w:cs="宋体"/>
                <w:color w:val="000000"/>
                <w:sz w:val="24"/>
              </w:rPr>
              <w:t>万元</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共计</w:t>
            </w:r>
            <w:r>
              <w:rPr>
                <w:rFonts w:hint="eastAsia" w:ascii="宋体" w:hAnsi="宋体" w:cs="宋体"/>
                <w:color w:val="000000"/>
                <w:sz w:val="24"/>
                <w:lang w:val="en-US" w:eastAsia="zh-CN"/>
              </w:rPr>
              <w:t>5</w:t>
            </w:r>
            <w:r>
              <w:rPr>
                <w:rFonts w:hint="eastAsia" w:ascii="宋体" w:hAnsi="宋体" w:cs="宋体"/>
                <w:color w:val="000000"/>
                <w:sz w:val="24"/>
              </w:rPr>
              <w:t>万元</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经济效益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摸清城乡居民在就业、专业技术和职业技能、职业构成、社会保险、劳动关系、公时、休假、劳动收入、权益维护及劳动人事争议处理等方面情况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摸清城乡居民在就业、专业技术和职业技能、职业构成、社会保险、劳动关系、公时、休假、劳动收入、权益维护及劳动人事争议处理等方面情况</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摸清城乡居民在就业、专业技术和职业技能、职业构成、社会保险、劳动关系、公时、休假、劳动收入、权益维护及劳动人事争议处理等方面情况</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摸清城乡居民在人力资源和社会保障有关方面的基本情况</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服务科学决策和政策制定</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服务科学决策和政策制定</w:t>
            </w: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项目效果指标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上级单位及被调查居民</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≥90%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≥100%</w:t>
            </w:r>
          </w:p>
        </w:tc>
      </w:tr>
    </w:tbl>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left="630"/>
        <w:rPr>
          <w:rFonts w:eastAsia="方正仿宋_GBK"/>
          <w:sz w:val="33"/>
          <w:szCs w:val="33"/>
        </w:rPr>
      </w:pPr>
      <w:r>
        <w:rPr>
          <w:rFonts w:eastAsia="方正仿宋_GBK"/>
          <w:sz w:val="33"/>
          <w:szCs w:val="33"/>
        </w:rPr>
        <w:t>2.部门绩效评价结果。</w:t>
      </w:r>
    </w:p>
    <w:p>
      <w:pPr>
        <w:ind w:firstLine="660" w:firstLineChars="200"/>
        <w:rPr>
          <w:rFonts w:eastAsia="方正仿宋_GBK"/>
          <w:sz w:val="33"/>
          <w:szCs w:val="33"/>
        </w:rPr>
      </w:pPr>
      <w:r>
        <w:rPr>
          <w:rFonts w:eastAsia="方正仿宋_GBK"/>
          <w:sz w:val="33"/>
          <w:szCs w:val="33"/>
        </w:rPr>
        <w:t>本部门按要求对</w:t>
      </w:r>
      <w:r>
        <w:rPr>
          <w:rFonts w:hint="eastAsia" w:eastAsia="方正仿宋_GBK"/>
          <w:sz w:val="33"/>
          <w:szCs w:val="33"/>
          <w:lang w:val="en-US" w:eastAsia="zh-CN"/>
        </w:rPr>
        <w:t>2020</w:t>
      </w:r>
      <w:r>
        <w:rPr>
          <w:rFonts w:eastAsia="方正仿宋_GBK"/>
          <w:sz w:val="33"/>
          <w:szCs w:val="33"/>
        </w:rPr>
        <w:t>年部门整体支出绩效评价情况开展自评，《武胜县人力资源和社会保障局</w:t>
      </w:r>
      <w:r>
        <w:rPr>
          <w:rFonts w:hint="eastAsia" w:eastAsia="方正仿宋_GBK"/>
          <w:sz w:val="33"/>
          <w:szCs w:val="33"/>
          <w:lang w:val="en-US" w:eastAsia="zh-CN"/>
        </w:rPr>
        <w:t>2020</w:t>
      </w:r>
      <w:r>
        <w:rPr>
          <w:rFonts w:eastAsia="方正仿宋_GBK"/>
          <w:sz w:val="33"/>
          <w:szCs w:val="33"/>
        </w:rPr>
        <w:t>年部门整体支出绩效评价报告》见附件（附件1）。</w:t>
      </w:r>
    </w:p>
    <w:p>
      <w:pPr>
        <w:ind w:firstLine="660" w:firstLineChars="200"/>
        <w:rPr>
          <w:rFonts w:eastAsia="方正仿宋_GBK"/>
          <w:sz w:val="33"/>
          <w:szCs w:val="33"/>
        </w:rPr>
      </w:pPr>
      <w:r>
        <w:rPr>
          <w:rFonts w:eastAsia="方正仿宋_GBK"/>
          <w:sz w:val="33"/>
          <w:szCs w:val="33"/>
        </w:rPr>
        <w:t>由于财务人员人手不足，本部门未自行组织对项目开展了绩效评价。</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3"/>
        </w:numPr>
        <w:ind w:firstLine="660" w:firstLineChars="150"/>
        <w:jc w:val="center"/>
        <w:outlineLvl w:val="0"/>
        <w:rPr>
          <w:rStyle w:val="25"/>
          <w:rFonts w:ascii="方正黑体_GBK" w:hAnsi="黑体" w:eastAsia="方正黑体_GBK"/>
          <w:b w:val="0"/>
        </w:rPr>
      </w:pPr>
      <w:bookmarkStart w:id="81" w:name="_Toc49412337"/>
      <w:bookmarkStart w:id="82" w:name="_Toc15377225"/>
      <w:bookmarkStart w:id="83" w:name="_Toc15396613"/>
      <w:r>
        <w:rPr>
          <w:rFonts w:hint="eastAsia" w:ascii="方正黑体_GBK" w:hAnsi="黑体" w:eastAsia="方正黑体_GBK"/>
          <w:color w:val="000000"/>
          <w:sz w:val="44"/>
          <w:szCs w:val="44"/>
        </w:rPr>
        <w:t>名</w:t>
      </w:r>
      <w:r>
        <w:rPr>
          <w:rStyle w:val="25"/>
          <w:rFonts w:hint="eastAsia" w:ascii="方正黑体_GBK" w:hAnsi="黑体" w:eastAsia="方正黑体_GBK"/>
          <w:b w:val="0"/>
        </w:rPr>
        <w:t>词解释</w:t>
      </w:r>
      <w:bookmarkEnd w:id="81"/>
      <w:bookmarkEnd w:id="82"/>
      <w:bookmarkEnd w:id="83"/>
    </w:p>
    <w:p>
      <w:pPr>
        <w:jc w:val="left"/>
        <w:rPr>
          <w:rFonts w:ascii="宋体"/>
          <w:b/>
          <w:color w:val="000000"/>
          <w:sz w:val="44"/>
          <w:szCs w:val="44"/>
        </w:rPr>
      </w:pPr>
    </w:p>
    <w:p>
      <w:pPr>
        <w:spacing w:line="590" w:lineRule="exact"/>
        <w:ind w:firstLine="640"/>
        <w:rPr>
          <w:rFonts w:eastAsia="方正仿宋_GBK"/>
          <w:color w:val="000000"/>
          <w:kern w:val="0"/>
          <w:sz w:val="33"/>
          <w:szCs w:val="33"/>
        </w:rPr>
      </w:pPr>
      <w:r>
        <w:rPr>
          <w:rFonts w:eastAsia="方正仿宋_GBK"/>
          <w:color w:val="000000"/>
          <w:kern w:val="0"/>
          <w:sz w:val="33"/>
          <w:szCs w:val="33"/>
        </w:rPr>
        <w:t>1.财政拨款收入：指单位从同级财政部门取得的财政预算资金。</w:t>
      </w:r>
    </w:p>
    <w:p>
      <w:pPr>
        <w:spacing w:line="590" w:lineRule="exact"/>
        <w:ind w:firstLine="640"/>
        <w:rPr>
          <w:rFonts w:eastAsia="方正仿宋_GBK"/>
          <w:color w:val="000000"/>
          <w:kern w:val="0"/>
          <w:sz w:val="33"/>
          <w:szCs w:val="33"/>
        </w:rPr>
      </w:pPr>
      <w:r>
        <w:rPr>
          <w:rFonts w:eastAsia="方正仿宋_GBK"/>
          <w:color w:val="000000"/>
          <w:kern w:val="0"/>
          <w:sz w:val="33"/>
          <w:szCs w:val="33"/>
        </w:rPr>
        <w:t>2.事业收入：指事业单位开展专业业务活动及辅助活动取得的收入。</w:t>
      </w:r>
    </w:p>
    <w:p>
      <w:pPr>
        <w:spacing w:line="590" w:lineRule="exact"/>
        <w:ind w:firstLine="640"/>
        <w:rPr>
          <w:rFonts w:eastAsia="方正仿宋_GBK"/>
          <w:color w:val="000000"/>
          <w:kern w:val="0"/>
          <w:sz w:val="33"/>
          <w:szCs w:val="33"/>
        </w:rPr>
      </w:pPr>
      <w:r>
        <w:rPr>
          <w:rFonts w:eastAsia="方正仿宋_GBK"/>
          <w:color w:val="000000"/>
          <w:kern w:val="0"/>
          <w:sz w:val="33"/>
          <w:szCs w:val="33"/>
        </w:rPr>
        <w:t>3.经营收入：指事业单位在专业业务活动及其辅助活动之外开展非独立核算经营活动取得的收入。</w:t>
      </w:r>
    </w:p>
    <w:p>
      <w:pPr>
        <w:spacing w:line="590" w:lineRule="exact"/>
        <w:ind w:firstLine="640"/>
        <w:rPr>
          <w:rFonts w:eastAsia="方正仿宋_GBK"/>
          <w:color w:val="000000"/>
          <w:kern w:val="0"/>
          <w:sz w:val="33"/>
          <w:szCs w:val="33"/>
        </w:rPr>
      </w:pPr>
      <w:r>
        <w:rPr>
          <w:rFonts w:eastAsia="方正仿宋_GBK"/>
          <w:color w:val="000000"/>
          <w:kern w:val="0"/>
          <w:sz w:val="33"/>
          <w:szCs w:val="33"/>
        </w:rPr>
        <w:t>4.其他收入：指单位取得的除上述收入以外的各项收入。</w:t>
      </w:r>
    </w:p>
    <w:p>
      <w:pPr>
        <w:spacing w:line="590" w:lineRule="exact"/>
        <w:ind w:firstLine="640"/>
        <w:rPr>
          <w:rFonts w:eastAsia="方正仿宋_GBK"/>
          <w:color w:val="000000"/>
          <w:kern w:val="0"/>
          <w:sz w:val="33"/>
          <w:szCs w:val="33"/>
        </w:rPr>
      </w:pPr>
      <w:r>
        <w:rPr>
          <w:rFonts w:eastAsia="方正仿宋_GBK"/>
          <w:color w:val="000000"/>
          <w:kern w:val="0"/>
          <w:sz w:val="33"/>
          <w:szCs w:val="33"/>
        </w:rPr>
        <w:t>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590" w:lineRule="exact"/>
        <w:ind w:firstLine="640"/>
        <w:rPr>
          <w:rFonts w:eastAsia="方正仿宋_GBK"/>
          <w:color w:val="000000"/>
          <w:kern w:val="0"/>
          <w:sz w:val="33"/>
          <w:szCs w:val="33"/>
        </w:rPr>
      </w:pPr>
      <w:r>
        <w:rPr>
          <w:rFonts w:eastAsia="方正仿宋_GBK"/>
          <w:color w:val="000000"/>
          <w:kern w:val="0"/>
          <w:sz w:val="33"/>
          <w:szCs w:val="33"/>
        </w:rPr>
        <w:t>6.年初结转和结余：指以前年度尚未完成、结转到本年按有关规定继续使用的资金。</w:t>
      </w:r>
    </w:p>
    <w:p>
      <w:pPr>
        <w:spacing w:line="590" w:lineRule="exact"/>
        <w:ind w:firstLine="640"/>
        <w:rPr>
          <w:rFonts w:eastAsia="方正仿宋_GBK"/>
          <w:color w:val="000000"/>
          <w:kern w:val="0"/>
          <w:sz w:val="33"/>
          <w:szCs w:val="33"/>
        </w:rPr>
      </w:pPr>
      <w:r>
        <w:rPr>
          <w:rFonts w:eastAsia="方正仿宋_GBK"/>
          <w:color w:val="000000"/>
          <w:kern w:val="0"/>
          <w:sz w:val="33"/>
          <w:szCs w:val="33"/>
        </w:rPr>
        <w:t>7.结余分配：指事业单位按照事业单位会计制度的规定从非财政补助结余中分配的事业基金和职工福利基金等。</w:t>
      </w:r>
    </w:p>
    <w:p>
      <w:pPr>
        <w:spacing w:line="590" w:lineRule="exact"/>
        <w:ind w:firstLine="640"/>
        <w:rPr>
          <w:rFonts w:eastAsia="方正仿宋_GBK"/>
          <w:color w:val="000000"/>
          <w:kern w:val="0"/>
          <w:sz w:val="33"/>
          <w:szCs w:val="33"/>
        </w:rPr>
      </w:pPr>
      <w:r>
        <w:rPr>
          <w:rFonts w:eastAsia="方正仿宋_GBK"/>
          <w:color w:val="000000"/>
          <w:kern w:val="0"/>
          <w:sz w:val="33"/>
          <w:szCs w:val="33"/>
        </w:rPr>
        <w:t>8、年末结转和结余：指单位按有关规定结转到下年或以后年度继续使用的资金。</w:t>
      </w:r>
    </w:p>
    <w:p>
      <w:pPr>
        <w:spacing w:line="590" w:lineRule="exact"/>
        <w:ind w:firstLine="640"/>
        <w:rPr>
          <w:rFonts w:eastAsia="方正仿宋_GBK"/>
          <w:color w:val="000000"/>
          <w:kern w:val="0"/>
          <w:sz w:val="33"/>
          <w:szCs w:val="33"/>
        </w:rPr>
      </w:pPr>
      <w:r>
        <w:rPr>
          <w:rFonts w:eastAsia="方正仿宋_GBK"/>
          <w:b/>
          <w:bCs/>
          <w:color w:val="000000"/>
          <w:kern w:val="0"/>
          <w:sz w:val="33"/>
          <w:szCs w:val="33"/>
        </w:rPr>
        <w:t>9.</w:t>
      </w:r>
      <w:r>
        <w:rPr>
          <w:rFonts w:eastAsia="方正仿宋_GBK"/>
          <w:color w:val="000000"/>
          <w:kern w:val="0"/>
          <w:sz w:val="33"/>
          <w:szCs w:val="33"/>
        </w:rPr>
        <w:t>一般公共服务（类）：人力资源事务（款）行政运行（项）指行政单位的基本支出；人力资源事务（款）军队转业干部安置（项）指军转干部安置、人员经费、自主择业退役金等方面的支出；人力资源事务（款）公务员履职能力提升（项）指用于提升公务员履职能力所发生的各项支出；人力资源事务（款）其他人力资源事务支出（项）指除上述项目以外其他人力资源事务方面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10.社会保障和就业（类）：人力资源和社会保障管理事务（款）行政运行（项）指行政单位的基本支出；人力资源和社会保障管理事务（款）社会保险经办机构（项）指社会保险经办机构开展业务工作的支出；人力资源和社会保障管理事务（款）其他人力资源和社会保障管理事务支出（项）指除上述项目以外其他用于人力资源和社会保障管理事务方面的支出；行政事业单位离退休（款）事业单位离退休（项）指实行归口管理的事业单位开支的离退休经费；行政事业单位离退休（款）机关事业单位基本养老保险缴费支出（项）指机关事业单位实施养老保险制度由单位缴纳的基本养老保险费支出；其他社会保障和就业支出（款）其他社会保障和就业支出（项）指除上述项目以外其他用于社会保障和就业方面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11.卫生健康支出（类）：行政事业单位医疗（款）行政单位医疗（项）指财政部门集中安排的行政单位基本医疗保险缴费经费；行政事业单位医疗（款）公务员医疗补助（项）指财政部门集中安排的公务员医疗补助经费；行政事业单位医疗（款）其他行政事业单位医疗（项）指除上述项目以外的其他用于行政事业单位医疗方面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12.城乡社区支出（类）：国有土地使用权出让收入及对应专项债务收入安排的支出（款）征地和拆迁补偿支出（项）指国有土地征地和拆迁补偿的支出。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13.住房保障支出（类）：住房改革支出（款）住房公积金（项）指行政事业单位按人力资源和社会保障局、财政部规定的基本工资和津贴补贴以及规定比例为职工缴纳的住房公积金。</w:t>
      </w:r>
    </w:p>
    <w:p>
      <w:pPr>
        <w:spacing w:line="590" w:lineRule="exact"/>
        <w:ind w:firstLine="640"/>
        <w:rPr>
          <w:rFonts w:eastAsia="方正仿宋_GBK"/>
          <w:color w:val="000000"/>
          <w:kern w:val="0"/>
          <w:sz w:val="33"/>
          <w:szCs w:val="33"/>
        </w:rPr>
      </w:pPr>
      <w:r>
        <w:rPr>
          <w:rFonts w:eastAsia="方正仿宋_GBK"/>
          <w:color w:val="000000"/>
          <w:kern w:val="0"/>
          <w:sz w:val="33"/>
          <w:szCs w:val="33"/>
        </w:rPr>
        <w:t>14.基本支出：指为保障机构正常运转、完成日常工作任务而发生的人员支出和公用支出。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15.项目支出：指在基本支出之外为完成特定行政任务和事业发展目标所发生的支出。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16.经营支出：指事业单位在专业业务活动及其辅助活动之外开展非独立核算经营活动发生的支出。</w:t>
      </w:r>
    </w:p>
    <w:p>
      <w:pPr>
        <w:spacing w:line="590" w:lineRule="exact"/>
        <w:ind w:firstLine="640"/>
        <w:rPr>
          <w:rFonts w:eastAsia="方正仿宋_GBK"/>
          <w:color w:val="000000"/>
          <w:kern w:val="0"/>
          <w:sz w:val="33"/>
          <w:szCs w:val="33"/>
        </w:rPr>
      </w:pPr>
      <w:r>
        <w:rPr>
          <w:rFonts w:eastAsia="方正仿宋_GBK"/>
          <w:color w:val="000000"/>
          <w:kern w:val="0"/>
          <w:sz w:val="33"/>
          <w:szCs w:val="33"/>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90" w:lineRule="exact"/>
        <w:ind w:firstLine="660" w:firstLineChars="200"/>
        <w:rPr>
          <w:rFonts w:ascii="仿宋_GB2312" w:eastAsia="仿宋_GB2312"/>
          <w:color w:val="000000"/>
          <w:sz w:val="32"/>
          <w:szCs w:val="32"/>
        </w:rPr>
      </w:pPr>
      <w:r>
        <w:rPr>
          <w:rFonts w:eastAsia="方正仿宋_GBK"/>
          <w:color w:val="000000"/>
          <w:kern w:val="0"/>
          <w:sz w:val="33"/>
          <w:szCs w:val="33"/>
        </w:rPr>
        <w:t>18.机关运行经费：为保障行政单位（含参照公务员法管理的事业单位）运行用于购买货物和服务的各项资金，包括办公及印刷费、邮电费、差旅费、会议费、福利费、日常维修费、专用材料及一般设备购置费、水电费、物业管理费。</w:t>
      </w:r>
    </w:p>
    <w:p>
      <w:pPr>
        <w:pStyle w:val="23"/>
        <w:ind w:firstLine="640" w:firstLineChars="200"/>
        <w:rPr>
          <w:rFonts w:ascii="仿宋_GB2312" w:eastAsia="仿宋_GB2312" w:cs="黑体"/>
          <w:sz w:val="32"/>
          <w:szCs w:val="32"/>
        </w:rPr>
      </w:pPr>
    </w:p>
    <w:p>
      <w:pPr>
        <w:jc w:val="center"/>
        <w:outlineLvl w:val="0"/>
        <w:rPr>
          <w:rStyle w:val="25"/>
          <w:rFonts w:ascii="方正黑体_GBK" w:hAnsi="黑体" w:eastAsia="方正黑体_GBK"/>
          <w:b w:val="0"/>
        </w:rPr>
      </w:pPr>
      <w:bookmarkStart w:id="84" w:name="_Toc15377226"/>
      <w:r>
        <w:rPr>
          <w:rFonts w:ascii="宋体"/>
          <w:b/>
          <w:color w:val="000000"/>
          <w:sz w:val="44"/>
          <w:szCs w:val="44"/>
        </w:rPr>
        <w:br w:type="page"/>
      </w:r>
      <w:bookmarkStart w:id="85" w:name="_Toc49412338"/>
      <w:bookmarkStart w:id="86" w:name="_Toc15396614"/>
      <w:r>
        <w:rPr>
          <w:rFonts w:hint="eastAsia" w:ascii="方正黑体_GBK" w:hAnsi="黑体" w:eastAsia="方正黑体_GBK"/>
          <w:color w:val="000000"/>
          <w:sz w:val="44"/>
          <w:szCs w:val="44"/>
        </w:rPr>
        <w:t>第</w:t>
      </w:r>
      <w:r>
        <w:rPr>
          <w:rStyle w:val="25"/>
          <w:rFonts w:hint="eastAsia" w:ascii="方正黑体_GBK" w:hAnsi="黑体" w:eastAsia="方正黑体_GBK"/>
          <w:b w:val="0"/>
        </w:rPr>
        <w:t>四部分 附件</w:t>
      </w:r>
      <w:bookmarkEnd w:id="85"/>
      <w:bookmarkEnd w:id="86"/>
    </w:p>
    <w:p>
      <w:pPr>
        <w:pStyle w:val="3"/>
        <w:rPr>
          <w:rFonts w:ascii="方正小标宋简体" w:hAnsi="方正小标宋简体" w:eastAsia="方正小标宋简体" w:cs="方正小标宋简体"/>
        </w:rPr>
      </w:pPr>
      <w:bookmarkStart w:id="87" w:name="_Toc49412339"/>
      <w:r>
        <w:rPr>
          <w:rFonts w:hint="eastAsia" w:ascii="黑体" w:hAnsi="黑体" w:eastAsia="黑体" w:cs="黑体"/>
        </w:rPr>
        <w:t>附件1</w:t>
      </w:r>
      <w:bookmarkEnd w:id="87"/>
      <w:bookmarkStart w:id="114" w:name="_GoBack"/>
      <w:bookmarkEnd w:id="114"/>
    </w:p>
    <w:p>
      <w:pPr>
        <w:spacing w:line="700" w:lineRule="exact"/>
        <w:jc w:val="center"/>
        <w:rPr>
          <w:rFonts w:ascii="方正小标宋_GBK" w:hAnsi="宋体" w:eastAsia="方正小标宋_GBK"/>
          <w:color w:val="000000"/>
          <w:kern w:val="0"/>
          <w:sz w:val="44"/>
          <w:szCs w:val="44"/>
        </w:rPr>
      </w:pPr>
      <w:r>
        <w:rPr>
          <w:rFonts w:hint="eastAsia" w:ascii="方正小标宋_GBK" w:hAnsi="宋体" w:eastAsia="方正小标宋_GBK"/>
          <w:color w:val="000000"/>
          <w:kern w:val="0"/>
          <w:sz w:val="44"/>
          <w:szCs w:val="44"/>
        </w:rPr>
        <w:t>武胜县人力资源和社会保障局</w:t>
      </w:r>
    </w:p>
    <w:p>
      <w:pPr>
        <w:spacing w:line="700" w:lineRule="exact"/>
        <w:jc w:val="center"/>
        <w:rPr>
          <w:rFonts w:ascii="方正小标宋_GBK" w:hAnsi="宋体" w:eastAsia="方正小标宋_GBK"/>
          <w:color w:val="000000"/>
          <w:kern w:val="0"/>
          <w:sz w:val="44"/>
          <w:szCs w:val="44"/>
          <w:lang w:val="zh-CN"/>
        </w:rPr>
      </w:pPr>
      <w:r>
        <w:rPr>
          <w:rFonts w:hint="eastAsia" w:ascii="方正小标宋_GBK" w:hAnsi="宋体" w:eastAsia="方正小标宋_GBK"/>
          <w:color w:val="000000"/>
          <w:kern w:val="0"/>
          <w:sz w:val="44"/>
          <w:szCs w:val="44"/>
          <w:lang w:val="en-US" w:eastAsia="zh-CN"/>
        </w:rPr>
        <w:t>2020</w:t>
      </w:r>
      <w:r>
        <w:rPr>
          <w:rFonts w:hint="eastAsia" w:ascii="方正小标宋_GBK" w:hAnsi="宋体" w:eastAsia="方正小标宋_GBK"/>
          <w:color w:val="000000"/>
          <w:kern w:val="0"/>
          <w:sz w:val="44"/>
          <w:szCs w:val="44"/>
        </w:rPr>
        <w:t>年部门</w:t>
      </w:r>
      <w:r>
        <w:rPr>
          <w:rFonts w:hint="eastAsia" w:ascii="方正小标宋_GBK" w:hAnsi="宋体" w:eastAsia="方正小标宋_GBK"/>
          <w:color w:val="000000"/>
          <w:kern w:val="0"/>
          <w:sz w:val="44"/>
          <w:szCs w:val="44"/>
          <w:lang w:val="zh-CN"/>
        </w:rPr>
        <w:t>整体支出绩效评价报告</w:t>
      </w:r>
    </w:p>
    <w:p>
      <w:pPr>
        <w:rPr>
          <w:rFonts w:ascii="黑体" w:hAnsi="宋体" w:eastAsia="黑体" w:cs="宋体"/>
          <w:color w:val="000000"/>
          <w:kern w:val="0"/>
          <w:sz w:val="24"/>
          <w:szCs w:val="32"/>
          <w:shd w:val="clear" w:color="auto" w:fill="FFFFFF"/>
        </w:rPr>
      </w:pPr>
    </w:p>
    <w:p>
      <w:pPr>
        <w:spacing w:line="590" w:lineRule="exact"/>
        <w:rPr>
          <w:rFonts w:ascii="方正黑体_GBK" w:eastAsia="方正黑体_GBK"/>
          <w:color w:val="000000"/>
          <w:kern w:val="0"/>
          <w:sz w:val="33"/>
          <w:szCs w:val="33"/>
          <w:shd w:val="clear" w:color="auto" w:fill="FFFFFF"/>
          <w:lang w:val="zh-CN"/>
        </w:rPr>
      </w:pPr>
      <w:r>
        <w:rPr>
          <w:rFonts w:hint="eastAsia" w:ascii="方正黑体_GBK" w:eastAsia="方正黑体_GBK"/>
          <w:color w:val="000000"/>
          <w:kern w:val="0"/>
          <w:sz w:val="33"/>
          <w:szCs w:val="33"/>
          <w:shd w:val="clear" w:color="auto" w:fill="FFFFFF"/>
        </w:rPr>
        <w:t>一、</w:t>
      </w:r>
      <w:r>
        <w:rPr>
          <w:rFonts w:hint="eastAsia" w:ascii="方正黑体_GBK" w:eastAsia="方正黑体_GBK"/>
          <w:color w:val="000000"/>
          <w:kern w:val="0"/>
          <w:sz w:val="33"/>
          <w:szCs w:val="33"/>
          <w:shd w:val="clear" w:color="auto" w:fill="FFFFFF"/>
          <w:lang w:val="zh-CN"/>
        </w:rPr>
        <w:t>部门（单位）概况</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hint="eastAsia" w:ascii="方正楷体_GBK" w:eastAsia="方正楷体_GBK"/>
          <w:b/>
          <w:color w:val="000000"/>
          <w:kern w:val="0"/>
          <w:sz w:val="33"/>
          <w:szCs w:val="33"/>
          <w:shd w:val="clear" w:color="auto" w:fill="FFFFFF"/>
          <w:lang w:val="zh-CN"/>
        </w:rPr>
        <w:t>（一）机构组成。</w:t>
      </w:r>
    </w:p>
    <w:p>
      <w:pPr>
        <w:spacing w:line="590" w:lineRule="exact"/>
        <w:ind w:firstLine="660" w:firstLineChars="200"/>
        <w:rPr>
          <w:rFonts w:eastAsia="方正仿宋_GBK"/>
          <w:sz w:val="33"/>
          <w:szCs w:val="33"/>
        </w:rPr>
      </w:pPr>
      <w:r>
        <w:rPr>
          <w:rFonts w:eastAsia="方正仿宋_GBK"/>
          <w:sz w:val="33"/>
          <w:szCs w:val="33"/>
        </w:rPr>
        <w:t>我局内设机构9个，包括：办公室、政策法规股、财务统计和基金监督股、就业失业与劳动关系股、专业技术人员和事业单位人员管理股、工资福利与表彰奖励股、人力资源和农民工工作股、劳动监察与信访股、政工人事股。下属参公管理事业单位2个，包括就业服务管理局、社会保险局；事业单位</w:t>
      </w:r>
      <w:r>
        <w:rPr>
          <w:rFonts w:hint="eastAsia" w:eastAsia="方正仿宋_GBK"/>
          <w:sz w:val="33"/>
          <w:szCs w:val="33"/>
        </w:rPr>
        <w:t>6</w:t>
      </w:r>
      <w:r>
        <w:rPr>
          <w:rFonts w:eastAsia="方正仿宋_GBK"/>
          <w:sz w:val="33"/>
          <w:szCs w:val="33"/>
        </w:rPr>
        <w:t>个，包括人力资源服务中心、劳动人事争议仲裁院、机关事业单位养老保险局、城乡居民社会养老保险局、人力资源社会保障信息中心</w:t>
      </w:r>
      <w:r>
        <w:rPr>
          <w:rFonts w:hint="eastAsia" w:eastAsia="方正仿宋_GBK"/>
          <w:sz w:val="33"/>
          <w:szCs w:val="33"/>
        </w:rPr>
        <w:t>、劳动保障监察服务中心</w:t>
      </w:r>
      <w:r>
        <w:rPr>
          <w:rFonts w:eastAsia="方正仿宋_GBK"/>
          <w:sz w:val="33"/>
          <w:szCs w:val="33"/>
        </w:rPr>
        <w:t>。</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（二）机构职能。</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1.贯彻执行人力资源和社会保障工作的相关法律、法规、方针和政策，拟订全县人力资源和社会保障事业发展政策、规划，起草相关规范性文件，并组织实施和监督检查。</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2.拟订人力资源市场发展规划、人力资源服务业发展和人力资源流动政策并组织实施，促进人力资源合理流动、有效配置。</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3.负责促进就业工作，拟订统筹城乡的就业发展规划和政策，完善公共就业创业服务体系，统筹建立面向城乡劳动者的职业技能培训制度，拟订并组织落实创业、就业援助制度，完善职业资格制度，牵头拟订高校毕业生就业政策。</w:t>
      </w:r>
    </w:p>
    <w:p>
      <w:pPr>
        <w:spacing w:line="590" w:lineRule="exact"/>
        <w:ind w:firstLine="660" w:firstLineChars="200"/>
        <w:rPr>
          <w:rFonts w:eastAsia="方正仿宋_GBK"/>
          <w:bCs/>
          <w:color w:val="000000"/>
          <w:kern w:val="0"/>
          <w:sz w:val="33"/>
          <w:szCs w:val="33"/>
          <w:shd w:val="clear" w:color="auto" w:fill="FFFFFF"/>
        </w:rPr>
      </w:pPr>
      <w:r>
        <w:rPr>
          <w:rFonts w:eastAsia="方正仿宋_GBK"/>
          <w:color w:val="000000"/>
          <w:kern w:val="0"/>
          <w:sz w:val="33"/>
          <w:szCs w:val="33"/>
          <w:shd w:val="clear" w:color="auto" w:fill="FFFFFF"/>
        </w:rPr>
        <w:t>4.</w:t>
      </w:r>
      <w:r>
        <w:rPr>
          <w:rFonts w:eastAsia="方正仿宋_GBK"/>
          <w:bCs/>
          <w:color w:val="000000"/>
          <w:kern w:val="0"/>
          <w:sz w:val="33"/>
          <w:szCs w:val="33"/>
          <w:shd w:val="clear" w:color="auto" w:fill="FFFFFF"/>
        </w:rPr>
        <w:t>统筹推进建立覆盖城乡的多层次社会保障体系。负责对全县养老、失业、工伤等社会保险及其补充保险政策和标准并组织实施。贯彻落实养老保险中央、省上、市上统筹办法和养老、失业、工伤保险关系转移办法。参与拟订养老、失业、工伤等社会保险及其补充保险基金管理和监督制度，编制相关社会保险基金预决算草案，参与拟订相关社会保障基金投资政策。会同有关部门实施全民参保计划并建立中央、省上、市上统一的社会保险公共服务平台。拟订人力资源和社会保障信息化建设总体规划、年度计划，制订相关制度、标准和规范并组织实施。指导、督促企业参加工伤保险。</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5.负责就业、失业和相关社会保险基金预测预警和信息引导，拟订应对预案，实施预防、调节和控制，保持就业形势稳定和相关社会保险基金总体收支平衡。</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6.统筹拟订劳动人事争议调解仲裁制度和劳动关系政策，完善劳动关系协商协调机制。组织落实国家、省、市制定的职工工作时间、休息休假和假期制度。拟订消除非法使用童工政策和女工、未成年工的特殊劳动保护政策。依法督促用人单位在劳动用工、合同签订与履约时，载明劳动保护、劳动条件和职业危害防护等条款。组织实施劳动监察，协调劳动者维权工作，依法查处重大案件。</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7.牵头推进深化职称制度改革工作，拟订专业技术人员管理和继续教育政策并组织实施，负责高层次专业技术人才培养、选拔和推荐工作。拟订吸引留学人员来武胜（回武胜）工作或定居政策。组织拟订技能人才培养、评价、使用和激励制度。贯彻落实职业资格制度，健全职业技能多元化评价政策。指导、监督各级各类技工学校、民办职业培训机构按中省市有关规定履行安全管理责任。</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8.会同有关部门指导事业单位人事制度改革，按照管理权限负责规范事业单位岗位设置、公开招聘、聘用合同等人事综合管理工作，拟订事业单位人员和机关工勤人员管理政策，将安全生产责任履行情况作为事业单位工作人员奖惩、考核的重要内容。</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9.组织实施国家、省、市表彰奖励制度；综合管理县政府奖励工作，承担评比达标表彰奖励活动，根据授权承办以县委、县政府名义开展的表扬奖励活动。</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10.会同有关部门拟订事业单位人员工资收入分配政策和企业职工工资收入分配调控政策，建立企事业单位人员工资决定、正常增长和支付保障机制，拟订企事业单位人员福利和离退休政策。</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11.会同有关部门拟定劳务开发及农民工工作综合性政策和规划，推动相关政策落实，协调解决重点难点问题，维护农民工合法权益。负责将安全生产纳入农民工技能培训内容。</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12.负责人力资源和社会保障领域的对外交流与合作。</w:t>
      </w:r>
    </w:p>
    <w:p>
      <w:pPr>
        <w:spacing w:line="590" w:lineRule="exact"/>
        <w:ind w:firstLine="660" w:firstLineChars="200"/>
        <w:rPr>
          <w:rFonts w:eastAsia="方正仿宋_GBK"/>
          <w:bCs/>
          <w:color w:val="000000"/>
          <w:kern w:val="0"/>
          <w:sz w:val="33"/>
          <w:szCs w:val="33"/>
          <w:shd w:val="clear" w:color="auto" w:fill="FFFFFF"/>
        </w:rPr>
      </w:pPr>
      <w:r>
        <w:rPr>
          <w:rFonts w:eastAsia="方正仿宋_GBK"/>
          <w:bCs/>
          <w:color w:val="000000"/>
          <w:kern w:val="0"/>
          <w:sz w:val="33"/>
          <w:szCs w:val="33"/>
          <w:shd w:val="clear" w:color="auto" w:fill="FFFFFF"/>
        </w:rPr>
        <w:t>13.承担县职称改革工作领导小组办公室、县劳务开发暨农民工工作领导小组的具体工作。</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14.承担职责范围内的安全生产和职业健康、生态环境保护、审批服务便民化等工作。</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15.承担市人力资源社会保障局新增的对应职责。</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16.完成县委和县政府交办的其他任务。</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17.职能转变。深入推进简政放权、放管结合、优化服务改革，进一步减少行政审批事项，规范和优化对外办理事项，减少职业资格许可和认定等审批事项，实行职业资格目录清单管理，加强事中事后监管，创新就业和社会保障等公共服务方式，加强信息共享，提高公共服务水平。</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18.有关职责分工。与县教育科技和体育局的职责分工。高校毕业生就业政策由县人力资源社会保障局牵头，会同县教育科技和体育局等部门拟订。高校毕业生离校前的就业指导和服务工作，由县教育科技和体育局负责；高校毕业生离校后的就业指导和服务工作，由县人力资源社会保障局负责。</w:t>
      </w:r>
    </w:p>
    <w:p>
      <w:pPr>
        <w:spacing w:line="590" w:lineRule="exact"/>
        <w:ind w:firstLine="663" w:firstLineChars="200"/>
        <w:rPr>
          <w:rFonts w:eastAsia="方正仿宋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（三）人员概况。</w:t>
      </w:r>
      <w:r>
        <w:rPr>
          <w:rFonts w:eastAsia="方正仿宋_GBK"/>
          <w:sz w:val="33"/>
          <w:szCs w:val="33"/>
        </w:rPr>
        <w:t>我局核定总编制105 名，其中行政编制22名、参公管理事业编制 22名、事业编制61名。</w:t>
      </w:r>
      <w:r>
        <w:rPr>
          <w:rFonts w:hint="eastAsia" w:eastAsia="方正仿宋_GBK"/>
          <w:sz w:val="33"/>
          <w:szCs w:val="33"/>
          <w:lang w:val="en-US" w:eastAsia="zh-CN"/>
        </w:rPr>
        <w:t>2020</w:t>
      </w:r>
      <w:r>
        <w:rPr>
          <w:rFonts w:eastAsia="方正仿宋_GBK"/>
          <w:sz w:val="33"/>
          <w:szCs w:val="33"/>
        </w:rPr>
        <w:t>年底，全局在职职工</w:t>
      </w:r>
      <w:r>
        <w:rPr>
          <w:rFonts w:hint="eastAsia" w:eastAsia="方正仿宋_GBK"/>
          <w:sz w:val="33"/>
          <w:szCs w:val="33"/>
          <w:lang w:val="en-US" w:eastAsia="zh-CN"/>
        </w:rPr>
        <w:t>84</w:t>
      </w:r>
      <w:r>
        <w:rPr>
          <w:rFonts w:eastAsia="方正仿宋_GBK"/>
          <w:sz w:val="33"/>
          <w:szCs w:val="33"/>
        </w:rPr>
        <w:t>人，退休职工</w:t>
      </w:r>
      <w:r>
        <w:rPr>
          <w:rFonts w:hint="eastAsia" w:eastAsia="方正仿宋_GBK"/>
          <w:sz w:val="33"/>
          <w:szCs w:val="33"/>
          <w:lang w:val="en-US" w:eastAsia="zh-CN"/>
        </w:rPr>
        <w:t>45</w:t>
      </w:r>
      <w:r>
        <w:rPr>
          <w:rFonts w:eastAsia="方正仿宋_GBK"/>
          <w:sz w:val="33"/>
          <w:szCs w:val="33"/>
        </w:rPr>
        <w:t>人。</w:t>
      </w:r>
    </w:p>
    <w:p>
      <w:pPr>
        <w:spacing w:line="590" w:lineRule="exact"/>
        <w:ind w:firstLine="660" w:firstLineChars="200"/>
        <w:rPr>
          <w:rFonts w:ascii="方正黑体_GBK" w:eastAsia="方正黑体_GBK"/>
          <w:sz w:val="33"/>
          <w:szCs w:val="33"/>
        </w:rPr>
      </w:pPr>
      <w:r>
        <w:rPr>
          <w:rFonts w:ascii="方正黑体_GBK" w:eastAsia="方正黑体_GBK"/>
          <w:sz w:val="33"/>
          <w:szCs w:val="33"/>
        </w:rPr>
        <w:t>二、部门财政资金收支情况</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（一）部门财政资金收入情况。</w:t>
      </w:r>
    </w:p>
    <w:p>
      <w:pPr>
        <w:spacing w:line="590" w:lineRule="exact"/>
        <w:ind w:firstLine="660" w:firstLineChars="200"/>
        <w:rPr>
          <w:rFonts w:eastAsia="方正仿宋_GBK"/>
          <w:color w:val="000000"/>
          <w:kern w:val="0"/>
          <w:sz w:val="33"/>
          <w:szCs w:val="33"/>
          <w:shd w:val="clear" w:color="auto" w:fill="FFFFFF"/>
          <w:lang w:val="zh-CN"/>
        </w:rPr>
      </w:pPr>
      <w:r>
        <w:rPr>
          <w:rFonts w:hint="eastAsia" w:eastAsia="方正仿宋_GBK"/>
          <w:color w:val="000000"/>
          <w:sz w:val="33"/>
          <w:szCs w:val="33"/>
          <w:lang w:val="en-US" w:eastAsia="zh-CN"/>
        </w:rPr>
        <w:t>2020</w:t>
      </w:r>
      <w:r>
        <w:rPr>
          <w:rFonts w:eastAsia="方正仿宋_GBK"/>
          <w:color w:val="000000"/>
          <w:sz w:val="33"/>
          <w:szCs w:val="33"/>
        </w:rPr>
        <w:t>年度收入总计</w:t>
      </w:r>
      <w:r>
        <w:rPr>
          <w:rFonts w:hint="eastAsia" w:eastAsia="方正仿宋_GBK"/>
          <w:color w:val="000000"/>
          <w:sz w:val="33"/>
          <w:szCs w:val="33"/>
          <w:lang w:val="en-US" w:eastAsia="zh-CN"/>
        </w:rPr>
        <w:t>1089.61</w:t>
      </w:r>
      <w:r>
        <w:rPr>
          <w:rFonts w:eastAsia="方正仿宋_GBK"/>
          <w:color w:val="000000"/>
          <w:sz w:val="33"/>
          <w:szCs w:val="33"/>
        </w:rPr>
        <w:t>万元。与</w:t>
      </w:r>
      <w:r>
        <w:rPr>
          <w:rFonts w:hint="eastAsia" w:eastAsia="方正仿宋_GBK"/>
          <w:color w:val="000000"/>
          <w:sz w:val="33"/>
          <w:szCs w:val="33"/>
          <w:lang w:val="en-US" w:eastAsia="zh-CN"/>
        </w:rPr>
        <w:t>2019</w:t>
      </w:r>
      <w:r>
        <w:rPr>
          <w:rFonts w:eastAsia="方正仿宋_GBK"/>
          <w:color w:val="000000"/>
          <w:sz w:val="33"/>
          <w:szCs w:val="33"/>
        </w:rPr>
        <w:t>年相比，收入总计减少</w:t>
      </w:r>
      <w:r>
        <w:rPr>
          <w:rFonts w:hint="eastAsia" w:eastAsia="方正仿宋_GBK"/>
          <w:color w:val="000000"/>
          <w:sz w:val="33"/>
          <w:szCs w:val="33"/>
          <w:lang w:val="en-US" w:eastAsia="zh-CN"/>
        </w:rPr>
        <w:t>1241.34</w:t>
      </w:r>
      <w:r>
        <w:rPr>
          <w:rFonts w:eastAsia="方正仿宋_GBK"/>
          <w:color w:val="000000"/>
          <w:sz w:val="33"/>
          <w:szCs w:val="33"/>
        </w:rPr>
        <w:t>万元，减少</w:t>
      </w:r>
      <w:r>
        <w:rPr>
          <w:rFonts w:hint="eastAsia" w:eastAsia="方正仿宋_GBK"/>
          <w:color w:val="000000"/>
          <w:sz w:val="33"/>
          <w:szCs w:val="33"/>
          <w:lang w:val="en-US" w:eastAsia="zh-CN"/>
        </w:rPr>
        <w:t>12.22</w:t>
      </w:r>
      <w:r>
        <w:rPr>
          <w:rFonts w:eastAsia="方正仿宋_GBK"/>
          <w:color w:val="000000"/>
          <w:sz w:val="33"/>
          <w:szCs w:val="33"/>
        </w:rPr>
        <w:t>%。</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（二）部门财政资金支出情况。</w:t>
      </w:r>
    </w:p>
    <w:p>
      <w:pPr>
        <w:spacing w:line="590" w:lineRule="exact"/>
        <w:ind w:firstLine="660" w:firstLineChars="200"/>
        <w:rPr>
          <w:rFonts w:eastAsia="方正仿宋_GBK"/>
          <w:color w:val="000000"/>
          <w:kern w:val="0"/>
          <w:sz w:val="33"/>
          <w:szCs w:val="33"/>
          <w:shd w:val="clear" w:color="auto" w:fill="FFFFFF"/>
          <w:lang w:val="zh-CN"/>
        </w:rPr>
      </w:pPr>
      <w:r>
        <w:rPr>
          <w:rFonts w:hint="eastAsia" w:eastAsia="方正仿宋_GBK"/>
          <w:color w:val="000000"/>
          <w:sz w:val="33"/>
          <w:szCs w:val="33"/>
          <w:lang w:val="en-US" w:eastAsia="zh-CN"/>
        </w:rPr>
        <w:t>2020</w:t>
      </w:r>
      <w:r>
        <w:rPr>
          <w:rFonts w:eastAsia="方正仿宋_GBK"/>
          <w:color w:val="000000"/>
          <w:sz w:val="33"/>
          <w:szCs w:val="33"/>
        </w:rPr>
        <w:t>年度支出总计</w:t>
      </w:r>
      <w:r>
        <w:rPr>
          <w:rFonts w:hint="eastAsia" w:eastAsia="方正仿宋_GBK"/>
          <w:color w:val="000000"/>
          <w:sz w:val="33"/>
          <w:szCs w:val="33"/>
          <w:lang w:val="en-US" w:eastAsia="zh-CN"/>
        </w:rPr>
        <w:t>1215.66</w:t>
      </w:r>
      <w:r>
        <w:rPr>
          <w:rFonts w:eastAsia="方正仿宋_GBK"/>
          <w:color w:val="000000"/>
          <w:sz w:val="33"/>
          <w:szCs w:val="33"/>
        </w:rPr>
        <w:t>万元。与</w:t>
      </w:r>
      <w:r>
        <w:rPr>
          <w:rFonts w:hint="eastAsia" w:eastAsia="方正仿宋_GBK"/>
          <w:color w:val="000000"/>
          <w:sz w:val="33"/>
          <w:szCs w:val="33"/>
          <w:lang w:val="en-US" w:eastAsia="zh-CN"/>
        </w:rPr>
        <w:t>2019</w:t>
      </w:r>
      <w:r>
        <w:rPr>
          <w:rFonts w:eastAsia="方正仿宋_GBK"/>
          <w:color w:val="000000"/>
          <w:sz w:val="33"/>
          <w:szCs w:val="33"/>
        </w:rPr>
        <w:t>年</w:t>
      </w:r>
      <w:r>
        <w:rPr>
          <w:rFonts w:hint="eastAsia" w:eastAsia="方正仿宋_GBK"/>
          <w:color w:val="000000"/>
          <w:sz w:val="33"/>
          <w:szCs w:val="33"/>
          <w:lang w:val="en-US" w:eastAsia="zh-CN"/>
        </w:rPr>
        <w:t>1118.02万元</w:t>
      </w:r>
      <w:r>
        <w:rPr>
          <w:rFonts w:eastAsia="方正仿宋_GBK"/>
          <w:color w:val="000000"/>
          <w:sz w:val="33"/>
          <w:szCs w:val="33"/>
        </w:rPr>
        <w:t>相比，支出总计减少</w:t>
      </w:r>
      <w:r>
        <w:rPr>
          <w:rFonts w:hint="eastAsia" w:eastAsia="方正仿宋_GBK"/>
          <w:color w:val="000000"/>
          <w:sz w:val="33"/>
          <w:szCs w:val="33"/>
          <w:lang w:val="en-US" w:eastAsia="zh-CN"/>
        </w:rPr>
        <w:t>97.64</w:t>
      </w:r>
      <w:r>
        <w:rPr>
          <w:rFonts w:eastAsia="方正仿宋_GBK"/>
          <w:color w:val="000000"/>
          <w:sz w:val="33"/>
          <w:szCs w:val="33"/>
        </w:rPr>
        <w:t>万元，减少</w:t>
      </w:r>
      <w:r>
        <w:rPr>
          <w:rFonts w:hint="eastAsia" w:eastAsia="方正仿宋_GBK"/>
          <w:color w:val="000000"/>
          <w:sz w:val="33"/>
          <w:szCs w:val="33"/>
          <w:lang w:val="en-US" w:eastAsia="zh-CN"/>
        </w:rPr>
        <w:t>8.73</w:t>
      </w:r>
      <w:r>
        <w:rPr>
          <w:rFonts w:eastAsia="方正仿宋_GBK"/>
          <w:color w:val="000000"/>
          <w:sz w:val="33"/>
          <w:szCs w:val="33"/>
        </w:rPr>
        <w:t>%。</w:t>
      </w:r>
    </w:p>
    <w:p>
      <w:pPr>
        <w:spacing w:line="590" w:lineRule="exact"/>
        <w:ind w:firstLine="660" w:firstLineChars="200"/>
        <w:rPr>
          <w:rFonts w:ascii="方正黑体_GBK" w:eastAsia="方正黑体_GBK"/>
          <w:sz w:val="33"/>
          <w:szCs w:val="33"/>
        </w:rPr>
      </w:pPr>
      <w:r>
        <w:rPr>
          <w:rFonts w:ascii="方正黑体_GBK" w:eastAsia="方正黑体_GBK"/>
          <w:sz w:val="33"/>
          <w:szCs w:val="33"/>
        </w:rPr>
        <w:t>三、部门整体预算绩效管理情况</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（一）部门预算管理。</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我局高度重视部门预算绩效管理工作，认真收集基础数据及资料来源的前提下对支出绩效情况进行评价，做到数据真实、资料完整、客观评价。</w:t>
      </w:r>
    </w:p>
    <w:p>
      <w:pPr>
        <w:spacing w:line="590" w:lineRule="exact"/>
        <w:ind w:firstLine="660" w:firstLineChars="200"/>
        <w:rPr>
          <w:rFonts w:eastAsia="方正仿宋_GBK"/>
          <w:color w:val="000000"/>
          <w:kern w:val="0"/>
          <w:sz w:val="33"/>
          <w:szCs w:val="33"/>
          <w:shd w:val="clear" w:color="auto" w:fill="FFFFFF"/>
        </w:rPr>
      </w:pPr>
      <w:r>
        <w:rPr>
          <w:rFonts w:eastAsia="方正仿宋_GBK"/>
          <w:color w:val="000000"/>
          <w:kern w:val="0"/>
          <w:sz w:val="33"/>
          <w:szCs w:val="33"/>
          <w:shd w:val="clear" w:color="auto" w:fill="FFFFFF"/>
        </w:rPr>
        <w:t>与部门预算申报的绩效目标对照，整体支出已经完成预定目标，达到项目绩效产出。</w:t>
      </w:r>
    </w:p>
    <w:p>
      <w:pPr>
        <w:ind w:firstLine="640" w:firstLineChars="200"/>
        <w:rPr>
          <w:rFonts w:eastAsia="方正仿宋_GBK"/>
          <w:color w:val="FF0000"/>
          <w:sz w:val="32"/>
          <w:szCs w:val="32"/>
          <w:highlight w:val="none"/>
        </w:rPr>
      </w:pPr>
      <w:r>
        <w:rPr>
          <w:rFonts w:hint="eastAsia" w:eastAsia="方正仿宋_GBK"/>
          <w:color w:val="000000" w:themeColor="text1"/>
          <w:sz w:val="32"/>
          <w:szCs w:val="32"/>
          <w:highlight w:val="none"/>
          <w:lang w:val="en-US" w:eastAsia="zh-CN"/>
        </w:rPr>
        <w:t>2020</w:t>
      </w:r>
      <w:r>
        <w:rPr>
          <w:rFonts w:eastAsia="方正仿宋_GBK"/>
          <w:color w:val="000000" w:themeColor="text1"/>
          <w:sz w:val="32"/>
          <w:szCs w:val="32"/>
          <w:highlight w:val="none"/>
        </w:rPr>
        <w:t>年</w:t>
      </w:r>
      <w:r>
        <w:rPr>
          <w:rFonts w:eastAsia="方正仿宋_GBK"/>
          <w:color w:val="000000"/>
          <w:sz w:val="32"/>
          <w:szCs w:val="32"/>
          <w:highlight w:val="none"/>
        </w:rPr>
        <w:t>一</w:t>
      </w:r>
      <w:r>
        <w:rPr>
          <w:rFonts w:eastAsia="方正仿宋_GBK"/>
          <w:color w:val="000000" w:themeColor="text1"/>
          <w:sz w:val="32"/>
          <w:szCs w:val="32"/>
          <w:highlight w:val="none"/>
        </w:rPr>
        <w:t>般公共预算支出决算数为</w:t>
      </w:r>
      <w:r>
        <w:rPr>
          <w:rFonts w:hint="eastAsia" w:eastAsia="方正仿宋_GBK"/>
          <w:color w:val="000000" w:themeColor="text1"/>
          <w:sz w:val="32"/>
          <w:szCs w:val="32"/>
          <w:highlight w:val="none"/>
          <w:lang w:val="en-US" w:eastAsia="zh-CN"/>
        </w:rPr>
        <w:t>485.68</w:t>
      </w:r>
      <w:r>
        <w:rPr>
          <w:rFonts w:eastAsia="方正仿宋_GBK"/>
          <w:color w:val="000000" w:themeColor="text1"/>
          <w:sz w:val="32"/>
          <w:szCs w:val="32"/>
          <w:highlight w:val="none"/>
        </w:rPr>
        <w:t>万元，</w:t>
      </w:r>
      <w:r>
        <w:rPr>
          <w:rStyle w:val="14"/>
          <w:rFonts w:eastAsia="方正仿宋_GBK"/>
          <w:bCs/>
          <w:color w:val="000000" w:themeColor="text1"/>
          <w:sz w:val="32"/>
          <w:szCs w:val="32"/>
          <w:highlight w:val="none"/>
        </w:rPr>
        <w:t>完成</w:t>
      </w:r>
      <w:r>
        <w:rPr>
          <w:rStyle w:val="14"/>
          <w:rFonts w:eastAsia="方正仿宋_GBK"/>
          <w:bCs/>
          <w:color w:val="000000"/>
          <w:sz w:val="32"/>
          <w:szCs w:val="32"/>
          <w:highlight w:val="none"/>
        </w:rPr>
        <w:t>预算</w:t>
      </w:r>
      <w:r>
        <w:rPr>
          <w:rStyle w:val="14"/>
          <w:rFonts w:hint="eastAsia" w:eastAsia="方正仿宋_GBK"/>
          <w:bCs/>
          <w:color w:val="000000"/>
          <w:sz w:val="32"/>
          <w:szCs w:val="32"/>
          <w:highlight w:val="none"/>
          <w:lang w:val="en-US" w:eastAsia="zh-CN"/>
        </w:rPr>
        <w:t>100</w:t>
      </w:r>
      <w:r>
        <w:rPr>
          <w:rStyle w:val="14"/>
          <w:rFonts w:eastAsia="方正仿宋_GBK"/>
          <w:bCs/>
          <w:color w:val="000000"/>
          <w:sz w:val="32"/>
          <w:szCs w:val="32"/>
          <w:highlight w:val="none"/>
        </w:rPr>
        <w:t>%。其中：</w:t>
      </w:r>
    </w:p>
    <w:p>
      <w:pPr>
        <w:ind w:firstLine="643" w:firstLineChars="200"/>
        <w:rPr>
          <w:rFonts w:eastAsia="方正仿宋_GBK"/>
          <w:b/>
          <w:color w:val="000000"/>
          <w:sz w:val="32"/>
          <w:szCs w:val="32"/>
        </w:rPr>
      </w:pPr>
      <w:r>
        <w:rPr>
          <w:rStyle w:val="14"/>
          <w:rFonts w:eastAsia="方正仿宋_GBK"/>
          <w:bCs/>
          <w:color w:val="000000"/>
          <w:sz w:val="32"/>
          <w:szCs w:val="32"/>
        </w:rPr>
        <w:t>1.一般公共服务支出:</w:t>
      </w:r>
      <w:r>
        <w:rPr>
          <w:rStyle w:val="14"/>
          <w:rFonts w:eastAsia="方正仿宋_GBK"/>
          <w:b w:val="0"/>
          <w:bCs/>
          <w:color w:val="000000"/>
          <w:sz w:val="32"/>
          <w:szCs w:val="32"/>
        </w:rPr>
        <w:t>人力资源事务-其他人力资源事务支出决算为</w:t>
      </w:r>
      <w:r>
        <w:rPr>
          <w:rStyle w:val="14"/>
          <w:rFonts w:hint="eastAsia" w:eastAsia="方正仿宋_GBK"/>
          <w:b w:val="0"/>
          <w:bCs/>
          <w:color w:val="000000"/>
          <w:sz w:val="32"/>
          <w:szCs w:val="32"/>
          <w:lang w:val="en-US" w:eastAsia="zh-CN"/>
        </w:rPr>
        <w:t>8.5</w:t>
      </w:r>
      <w:r>
        <w:rPr>
          <w:rStyle w:val="14"/>
          <w:rFonts w:eastAsia="方正仿宋_GBK"/>
          <w:b w:val="0"/>
          <w:bCs/>
          <w:color w:val="000000"/>
          <w:sz w:val="32"/>
          <w:szCs w:val="32"/>
        </w:rPr>
        <w:t>万元，完成预算100%。</w:t>
      </w:r>
    </w:p>
    <w:p>
      <w:pPr>
        <w:ind w:firstLine="643" w:firstLineChars="200"/>
        <w:rPr>
          <w:rFonts w:eastAsia="方正仿宋_GBK"/>
          <w:b/>
          <w:bCs/>
          <w:color w:val="000000"/>
          <w:sz w:val="32"/>
          <w:szCs w:val="32"/>
        </w:rPr>
      </w:pPr>
      <w:r>
        <w:rPr>
          <w:rStyle w:val="14"/>
          <w:rFonts w:eastAsia="方正仿宋_GBK"/>
          <w:bCs/>
          <w:color w:val="000000"/>
          <w:sz w:val="32"/>
          <w:szCs w:val="32"/>
        </w:rPr>
        <w:t>2.社会保障和就业支出:</w:t>
      </w:r>
      <w:r>
        <w:rPr>
          <w:rStyle w:val="14"/>
          <w:rFonts w:eastAsia="方正仿宋_GBK"/>
          <w:b w:val="0"/>
          <w:bCs/>
          <w:color w:val="000000"/>
          <w:sz w:val="32"/>
          <w:szCs w:val="32"/>
        </w:rPr>
        <w:t xml:space="preserve"> 人力资源和社会保障管理事务-行政运行支出决算为</w:t>
      </w:r>
      <w:r>
        <w:rPr>
          <w:rStyle w:val="14"/>
          <w:rFonts w:hint="eastAsia" w:eastAsia="方正仿宋_GBK"/>
          <w:b w:val="0"/>
          <w:bCs/>
          <w:color w:val="000000"/>
          <w:sz w:val="32"/>
          <w:szCs w:val="32"/>
          <w:lang w:val="en-US" w:eastAsia="zh-CN"/>
        </w:rPr>
        <w:t>213.69</w:t>
      </w:r>
      <w:r>
        <w:rPr>
          <w:rStyle w:val="14"/>
          <w:rFonts w:eastAsia="方正仿宋_GBK"/>
          <w:b w:val="0"/>
          <w:bCs/>
          <w:color w:val="000000"/>
          <w:sz w:val="32"/>
          <w:szCs w:val="32"/>
        </w:rPr>
        <w:t>万元，完成预算</w:t>
      </w:r>
      <w:r>
        <w:rPr>
          <w:rStyle w:val="14"/>
          <w:rFonts w:hint="eastAsia" w:eastAsia="方正仿宋_GBK"/>
          <w:b w:val="0"/>
          <w:bCs/>
          <w:color w:val="000000"/>
          <w:sz w:val="32"/>
          <w:szCs w:val="32"/>
          <w:lang w:val="en-US" w:eastAsia="zh-CN"/>
        </w:rPr>
        <w:t>100</w:t>
      </w:r>
      <w:r>
        <w:rPr>
          <w:rStyle w:val="14"/>
          <w:rFonts w:eastAsia="方正仿宋_GBK"/>
          <w:b w:val="0"/>
          <w:bCs/>
          <w:color w:val="000000"/>
          <w:sz w:val="32"/>
          <w:szCs w:val="32"/>
        </w:rPr>
        <w:t>%，人力资源和社会保障管理事务-社会保险经办机构支出决算为</w:t>
      </w:r>
      <w:r>
        <w:rPr>
          <w:rStyle w:val="14"/>
          <w:rFonts w:hint="eastAsia" w:eastAsia="方正仿宋_GBK"/>
          <w:b w:val="0"/>
          <w:bCs/>
          <w:color w:val="000000"/>
          <w:sz w:val="32"/>
          <w:szCs w:val="32"/>
          <w:lang w:val="en-US" w:eastAsia="zh-CN"/>
        </w:rPr>
        <w:t>144.57</w:t>
      </w:r>
      <w:r>
        <w:rPr>
          <w:rStyle w:val="14"/>
          <w:rFonts w:eastAsia="方正仿宋_GBK"/>
          <w:b w:val="0"/>
          <w:bCs/>
          <w:color w:val="000000"/>
          <w:sz w:val="32"/>
          <w:szCs w:val="32"/>
        </w:rPr>
        <w:t>万元，完成预算100%；行政事业单位离退休-机关事业单位基本养老保险缴费支出决算为</w:t>
      </w:r>
      <w:r>
        <w:rPr>
          <w:rStyle w:val="14"/>
          <w:rFonts w:hint="eastAsia" w:eastAsia="方正仿宋_GBK"/>
          <w:b w:val="0"/>
          <w:bCs/>
          <w:color w:val="000000"/>
          <w:sz w:val="32"/>
          <w:szCs w:val="32"/>
          <w:lang w:val="en-US" w:eastAsia="zh-CN"/>
        </w:rPr>
        <w:t>47.23</w:t>
      </w:r>
      <w:r>
        <w:rPr>
          <w:rStyle w:val="14"/>
          <w:rFonts w:eastAsia="方正仿宋_GBK"/>
          <w:b w:val="0"/>
          <w:bCs/>
          <w:color w:val="000000"/>
          <w:sz w:val="32"/>
          <w:szCs w:val="32"/>
        </w:rPr>
        <w:t>万元，完成预算100%.</w:t>
      </w:r>
    </w:p>
    <w:p>
      <w:pPr>
        <w:ind w:firstLine="643" w:firstLineChars="200"/>
        <w:rPr>
          <w:rStyle w:val="14"/>
          <w:rFonts w:eastAsia="方正仿宋_GBK"/>
          <w:b w:val="0"/>
          <w:bCs/>
          <w:color w:val="000000"/>
          <w:sz w:val="32"/>
          <w:szCs w:val="32"/>
        </w:rPr>
      </w:pPr>
      <w:r>
        <w:rPr>
          <w:rStyle w:val="14"/>
          <w:rFonts w:eastAsia="方正仿宋_GBK"/>
          <w:bCs/>
          <w:color w:val="000000"/>
          <w:sz w:val="32"/>
          <w:szCs w:val="32"/>
        </w:rPr>
        <w:t>3.</w:t>
      </w:r>
      <w:r>
        <w:rPr>
          <w:rFonts w:eastAsia="方正仿宋_GBK"/>
          <w:b/>
          <w:bCs/>
          <w:color w:val="000000" w:themeColor="text1"/>
          <w:sz w:val="32"/>
          <w:szCs w:val="32"/>
        </w:rPr>
        <w:t>卫生健康</w:t>
      </w:r>
      <w:r>
        <w:rPr>
          <w:rStyle w:val="14"/>
          <w:rFonts w:eastAsia="方正仿宋_GBK"/>
          <w:bCs/>
          <w:color w:val="000000"/>
          <w:sz w:val="32"/>
          <w:szCs w:val="32"/>
        </w:rPr>
        <w:t>支出:</w:t>
      </w:r>
      <w:r>
        <w:rPr>
          <w:rStyle w:val="14"/>
          <w:rFonts w:eastAsia="方正仿宋_GBK"/>
          <w:b w:val="0"/>
          <w:bCs/>
          <w:color w:val="000000"/>
          <w:sz w:val="32"/>
          <w:szCs w:val="32"/>
        </w:rPr>
        <w:t>行政事业单位医疗-行政单位医疗支出决算为</w:t>
      </w:r>
      <w:r>
        <w:rPr>
          <w:rStyle w:val="14"/>
          <w:rFonts w:hint="eastAsia" w:eastAsia="方正仿宋_GBK"/>
          <w:b w:val="0"/>
          <w:bCs/>
          <w:color w:val="000000"/>
          <w:sz w:val="32"/>
          <w:szCs w:val="32"/>
          <w:lang w:val="en-US" w:eastAsia="zh-CN"/>
        </w:rPr>
        <w:t>18.32</w:t>
      </w:r>
      <w:r>
        <w:rPr>
          <w:rStyle w:val="14"/>
          <w:rFonts w:eastAsia="方正仿宋_GBK"/>
          <w:b w:val="0"/>
          <w:bCs/>
          <w:color w:val="000000"/>
          <w:sz w:val="32"/>
          <w:szCs w:val="32"/>
        </w:rPr>
        <w:t>万元，完成预算100%；行政事业单位医疗-事业单位医疗支出决算为</w:t>
      </w:r>
      <w:r>
        <w:rPr>
          <w:rStyle w:val="14"/>
          <w:rFonts w:hint="eastAsia" w:eastAsia="方正仿宋_GBK"/>
          <w:b w:val="0"/>
          <w:bCs/>
          <w:color w:val="000000"/>
          <w:sz w:val="32"/>
          <w:szCs w:val="32"/>
          <w:lang w:val="en-US" w:eastAsia="zh-CN"/>
        </w:rPr>
        <w:t>8.7</w:t>
      </w:r>
      <w:r>
        <w:rPr>
          <w:rStyle w:val="14"/>
          <w:rFonts w:eastAsia="方正仿宋_GBK"/>
          <w:b w:val="0"/>
          <w:bCs/>
          <w:color w:val="000000"/>
          <w:sz w:val="32"/>
          <w:szCs w:val="32"/>
        </w:rPr>
        <w:t>万元，完成预算100%；行政事业单位医疗-公务员医疗补助支出决算为</w:t>
      </w:r>
      <w:r>
        <w:rPr>
          <w:rStyle w:val="14"/>
          <w:rFonts w:hint="eastAsia" w:eastAsia="方正仿宋_GBK"/>
          <w:b w:val="0"/>
          <w:bCs/>
          <w:color w:val="000000"/>
          <w:sz w:val="32"/>
          <w:szCs w:val="32"/>
          <w:lang w:val="en-US" w:eastAsia="zh-CN"/>
        </w:rPr>
        <w:t>9.01</w:t>
      </w:r>
      <w:r>
        <w:rPr>
          <w:rStyle w:val="14"/>
          <w:rFonts w:eastAsia="方正仿宋_GBK"/>
          <w:b w:val="0"/>
          <w:bCs/>
          <w:color w:val="000000"/>
          <w:sz w:val="32"/>
          <w:szCs w:val="32"/>
        </w:rPr>
        <w:t>万元，完成预算100%；行政事业单位医疗-其他行政事业单位医疗支出决算为0.23万元，完成预算100%。</w:t>
      </w:r>
    </w:p>
    <w:p>
      <w:pPr>
        <w:ind w:firstLine="643" w:firstLineChars="200"/>
        <w:rPr>
          <w:rFonts w:ascii="仿宋" w:hAnsi="仿宋" w:eastAsia="仿宋"/>
          <w:b/>
          <w:color w:val="000000"/>
          <w:sz w:val="32"/>
          <w:szCs w:val="32"/>
        </w:rPr>
      </w:pPr>
      <w:r>
        <w:rPr>
          <w:rStyle w:val="14"/>
          <w:rFonts w:eastAsia="方正仿宋_GBK"/>
          <w:bCs/>
          <w:color w:val="000000"/>
          <w:sz w:val="32"/>
          <w:szCs w:val="32"/>
        </w:rPr>
        <w:t>4.住房保障支出：</w:t>
      </w:r>
      <w:r>
        <w:rPr>
          <w:rFonts w:eastAsia="方正仿宋_GBK"/>
          <w:color w:val="000000"/>
          <w:kern w:val="0"/>
          <w:sz w:val="32"/>
        </w:rPr>
        <w:t>住房改革支出-住房公积金支出决算</w:t>
      </w:r>
      <w:r>
        <w:rPr>
          <w:rFonts w:hint="eastAsia" w:eastAsia="方正仿宋_GBK"/>
          <w:color w:val="000000"/>
          <w:kern w:val="0"/>
          <w:sz w:val="32"/>
          <w:lang w:val="en-US" w:eastAsia="zh-CN"/>
        </w:rPr>
        <w:t>35.43</w:t>
      </w:r>
      <w:r>
        <w:rPr>
          <w:rFonts w:eastAsia="方正仿宋_GBK"/>
          <w:color w:val="000000"/>
          <w:kern w:val="0"/>
          <w:sz w:val="32"/>
        </w:rPr>
        <w:t>万元，完成预算100%。</w:t>
      </w:r>
    </w:p>
    <w:p>
      <w:pPr>
        <w:spacing w:line="590" w:lineRule="exact"/>
        <w:ind w:firstLine="663" w:firstLineChars="200"/>
        <w:rPr>
          <w:rFonts w:ascii="方正楷体_GBK" w:eastAsia="方正楷体_GBK"/>
          <w:b/>
          <w:color w:val="000000"/>
          <w:kern w:val="0"/>
          <w:sz w:val="33"/>
          <w:szCs w:val="33"/>
          <w:shd w:val="clear" w:color="auto" w:fill="FFFFFF"/>
          <w:lang w:val="zh-CN"/>
        </w:rPr>
      </w:pPr>
      <w:r>
        <w:rPr>
          <w:rFonts w:ascii="方正楷体_GBK" w:eastAsia="方正楷体_GBK"/>
          <w:b/>
          <w:color w:val="000000"/>
          <w:kern w:val="0"/>
          <w:sz w:val="33"/>
          <w:szCs w:val="33"/>
          <w:shd w:val="clear" w:color="auto" w:fill="FFFFFF"/>
          <w:lang w:val="zh-CN"/>
        </w:rPr>
        <w:t>（二）结果应用情况。</w:t>
      </w:r>
    </w:p>
    <w:p>
      <w:pPr>
        <w:spacing w:line="590" w:lineRule="exact"/>
        <w:ind w:firstLine="660" w:firstLineChars="200"/>
        <w:rPr>
          <w:rFonts w:eastAsia="方正仿宋_GBK"/>
          <w:sz w:val="33"/>
          <w:szCs w:val="33"/>
        </w:rPr>
      </w:pPr>
      <w:r>
        <w:rPr>
          <w:rFonts w:eastAsia="方正仿宋_GBK"/>
          <w:sz w:val="33"/>
          <w:szCs w:val="33"/>
        </w:rPr>
        <w:t>从经济性来分析，对项目的成本进行控制，本着厉行节约的原则，防止浪费，按照工作计划的预算金额逐步支付。</w:t>
      </w:r>
    </w:p>
    <w:p>
      <w:pPr>
        <w:spacing w:line="590" w:lineRule="exact"/>
        <w:ind w:firstLine="660" w:firstLineChars="200"/>
        <w:rPr>
          <w:rFonts w:eastAsia="方正仿宋_GBK"/>
          <w:sz w:val="33"/>
          <w:szCs w:val="33"/>
        </w:rPr>
      </w:pPr>
      <w:r>
        <w:rPr>
          <w:rFonts w:eastAsia="方正仿宋_GBK"/>
          <w:sz w:val="33"/>
          <w:szCs w:val="33"/>
        </w:rPr>
        <w:t>从效率性来分析，能在财政部门规定的相应时间节点，完成各项经费实施进度，总体执行进度达标。</w:t>
      </w:r>
    </w:p>
    <w:p>
      <w:pPr>
        <w:spacing w:line="590" w:lineRule="exact"/>
        <w:ind w:firstLine="660" w:firstLineChars="200"/>
        <w:rPr>
          <w:rFonts w:eastAsia="方正仿宋_GBK"/>
          <w:sz w:val="33"/>
          <w:szCs w:val="33"/>
        </w:rPr>
      </w:pPr>
      <w:r>
        <w:rPr>
          <w:rFonts w:eastAsia="方正仿宋_GBK"/>
          <w:sz w:val="33"/>
          <w:szCs w:val="33"/>
        </w:rPr>
        <w:t>从效益性来分析，我局始终按照科学发展观的要求，坚持先进文化的前进方向，切实围绕“预算编制有目标、预算执行有监控、预算完成有评价、评价结果有反馈、反馈结果有应用”的预算绩效管理体系认真开展工作，各项工作目标责任制得到进一步完善。</w:t>
      </w:r>
    </w:p>
    <w:p>
      <w:pPr>
        <w:spacing w:line="590" w:lineRule="exact"/>
        <w:ind w:firstLine="660" w:firstLineChars="200"/>
        <w:rPr>
          <w:rFonts w:ascii="方正黑体_GBK" w:eastAsia="方正黑体_GBK"/>
          <w:sz w:val="33"/>
          <w:szCs w:val="33"/>
        </w:rPr>
      </w:pPr>
      <w:r>
        <w:rPr>
          <w:rFonts w:hint="eastAsia" w:ascii="方正黑体_GBK" w:eastAsia="方正黑体_GBK"/>
          <w:sz w:val="33"/>
          <w:szCs w:val="33"/>
        </w:rPr>
        <w:t>四、评价结论及建议</w:t>
      </w:r>
    </w:p>
    <w:p>
      <w:pPr>
        <w:spacing w:line="590" w:lineRule="exact"/>
        <w:ind w:firstLine="663" w:firstLineChars="200"/>
        <w:rPr>
          <w:rFonts w:eastAsia="方正仿宋_GBK"/>
          <w:sz w:val="33"/>
          <w:szCs w:val="33"/>
        </w:rPr>
      </w:pPr>
      <w:r>
        <w:rPr>
          <w:rFonts w:ascii="方正楷体_GBK" w:eastAsia="方正楷体_GBK"/>
          <w:b/>
          <w:color w:val="000000"/>
          <w:kern w:val="0"/>
          <w:sz w:val="33"/>
          <w:szCs w:val="33"/>
          <w:shd w:val="clear" w:color="auto" w:fill="FFFFFF"/>
          <w:lang w:val="zh-CN"/>
        </w:rPr>
        <w:t>（一）评价结论。</w:t>
      </w:r>
      <w:r>
        <w:rPr>
          <w:rFonts w:eastAsia="方正仿宋_GBK"/>
          <w:sz w:val="33"/>
          <w:szCs w:val="33"/>
        </w:rPr>
        <w:t>与部门预算申报的绩效目标对照，整体支出已经日期完成预定目标，达到项目绩效产出。</w:t>
      </w:r>
    </w:p>
    <w:p>
      <w:pPr>
        <w:spacing w:line="590" w:lineRule="exact"/>
        <w:ind w:firstLine="663" w:firstLineChars="200"/>
        <w:rPr>
          <w:rFonts w:eastAsia="方正仿宋_GBK"/>
          <w:sz w:val="33"/>
          <w:szCs w:val="33"/>
        </w:rPr>
      </w:pPr>
      <w:r>
        <w:rPr>
          <w:rFonts w:ascii="方正楷体_GBK" w:eastAsia="方正楷体_GBK"/>
          <w:b/>
          <w:color w:val="000000"/>
          <w:kern w:val="0"/>
          <w:sz w:val="33"/>
          <w:szCs w:val="33"/>
          <w:shd w:val="clear" w:color="auto" w:fill="FFFFFF"/>
          <w:lang w:val="zh-CN"/>
        </w:rPr>
        <w:t>（二）存在问题。</w:t>
      </w:r>
      <w:r>
        <w:rPr>
          <w:rFonts w:eastAsia="方正仿宋_GBK"/>
          <w:sz w:val="33"/>
          <w:szCs w:val="33"/>
        </w:rPr>
        <w:t>根据</w:t>
      </w:r>
      <w:r>
        <w:rPr>
          <w:rFonts w:hint="eastAsia" w:eastAsia="方正仿宋_GBK"/>
          <w:sz w:val="33"/>
          <w:szCs w:val="33"/>
          <w:lang w:val="en-US" w:eastAsia="zh-CN"/>
        </w:rPr>
        <w:t>2020</w:t>
      </w:r>
      <w:r>
        <w:rPr>
          <w:rFonts w:eastAsia="方正仿宋_GBK"/>
          <w:sz w:val="33"/>
          <w:szCs w:val="33"/>
        </w:rPr>
        <w:t>年绩效评价工作，我局尚存在部分人员对绩效评价的工作认识不</w:t>
      </w:r>
      <w:r>
        <w:rPr>
          <w:rFonts w:hint="eastAsia" w:eastAsia="方正仿宋_GBK"/>
          <w:sz w:val="33"/>
          <w:szCs w:val="33"/>
        </w:rPr>
        <w:t>够</w:t>
      </w:r>
      <w:r>
        <w:rPr>
          <w:rFonts w:eastAsia="方正仿宋_GBK"/>
          <w:sz w:val="33"/>
          <w:szCs w:val="33"/>
        </w:rPr>
        <w:t>深入和彻底的问题。</w:t>
      </w:r>
    </w:p>
    <w:p>
      <w:pPr>
        <w:spacing w:line="590" w:lineRule="exact"/>
        <w:ind w:firstLine="663" w:firstLineChars="200"/>
        <w:rPr>
          <w:rFonts w:eastAsia="方正仿宋_GBK"/>
          <w:sz w:val="33"/>
          <w:szCs w:val="33"/>
        </w:rPr>
      </w:pPr>
      <w:r>
        <w:rPr>
          <w:rFonts w:ascii="方正楷体_GBK" w:eastAsia="方正楷体_GBK"/>
          <w:b/>
          <w:color w:val="000000"/>
          <w:kern w:val="0"/>
          <w:sz w:val="33"/>
          <w:szCs w:val="33"/>
          <w:shd w:val="clear" w:color="auto" w:fill="FFFFFF"/>
          <w:lang w:val="zh-CN"/>
        </w:rPr>
        <w:t>（三）改进建议。</w:t>
      </w:r>
      <w:r>
        <w:rPr>
          <w:rFonts w:eastAsia="方正仿宋_GBK"/>
          <w:sz w:val="33"/>
          <w:szCs w:val="33"/>
        </w:rPr>
        <w:t>根据政府、财政对绩效评价工作的相关要求，结合本单位的实际情况制定相应的绩效评价方案，进一步提高资金使用效益。扩大预算绩效管理的培训的覆盖面，让业务部门积极参与到绩效管理工作中，兼顾项目资金执行的质量和时效，突出社会效益和可持续影响。</w:t>
      </w:r>
    </w:p>
    <w:p>
      <w:pPr>
        <w:rPr>
          <w:rFonts w:ascii="方正楷体_GBK" w:eastAsia="方正楷体_GBK"/>
          <w:b/>
          <w:color w:val="000000"/>
          <w:kern w:val="0"/>
          <w:sz w:val="33"/>
          <w:szCs w:val="33"/>
          <w:shd w:val="clear" w:color="auto" w:fill="FFFFFF"/>
          <w:lang w:val="zh-CN"/>
        </w:rPr>
      </w:pPr>
    </w:p>
    <w:p>
      <w:pPr>
        <w:rPr>
          <w:rFonts w:ascii="方正楷体_GBK" w:eastAsia="方正楷体_GBK"/>
          <w:b/>
          <w:color w:val="000000"/>
          <w:kern w:val="0"/>
          <w:sz w:val="33"/>
          <w:szCs w:val="33"/>
          <w:shd w:val="clear" w:color="auto" w:fill="FFFFFF"/>
          <w:lang w:val="zh-CN"/>
        </w:rPr>
      </w:pPr>
    </w:p>
    <w:p>
      <w:pPr>
        <w:rPr>
          <w:rFonts w:ascii="仿宋_GB2312" w:hAnsi="仿宋_GB2312" w:eastAsia="仿宋_GB2312" w:cs="仿宋_GB2312"/>
          <w:sz w:val="32"/>
          <w:szCs w:val="32"/>
        </w:rPr>
      </w:pPr>
    </w:p>
    <w:p>
      <w:pPr>
        <w:rPr>
          <w:rStyle w:val="25"/>
          <w:rFonts w:ascii="黑体" w:hAnsi="黑体" w:eastAsia="黑体"/>
          <w:b w:val="0"/>
        </w:rPr>
      </w:pPr>
    </w:p>
    <w:p>
      <w:pPr>
        <w:jc w:val="center"/>
        <w:outlineLvl w:val="0"/>
        <w:rPr>
          <w:rStyle w:val="25"/>
          <w:rFonts w:ascii="黑体" w:hAnsi="黑体" w:eastAsia="黑体"/>
          <w:b w:val="0"/>
        </w:rPr>
      </w:pPr>
      <w:bookmarkStart w:id="88" w:name="_Toc49412340"/>
      <w:bookmarkStart w:id="89" w:name="_Toc15396618"/>
      <w:r>
        <w:rPr>
          <w:rFonts w:hint="eastAsia" w:ascii="黑体" w:hAnsi="黑体" w:eastAsia="黑体"/>
          <w:color w:val="000000"/>
          <w:sz w:val="44"/>
          <w:szCs w:val="44"/>
        </w:rPr>
        <w:t>第</w:t>
      </w:r>
      <w:r>
        <w:rPr>
          <w:rStyle w:val="25"/>
          <w:rFonts w:hint="eastAsia" w:ascii="黑体" w:hAnsi="黑体" w:eastAsia="黑体"/>
          <w:b w:val="0"/>
        </w:rPr>
        <w:t>五部分 附表</w:t>
      </w:r>
      <w:bookmarkEnd w:id="84"/>
      <w:bookmarkEnd w:id="88"/>
      <w:bookmarkEnd w:id="89"/>
    </w:p>
    <w:p>
      <w:pPr>
        <w:rPr>
          <w:rFonts w:ascii="仿宋" w:hAnsi="仿宋" w:eastAsia="仿宋"/>
          <w:b/>
          <w:color w:val="000000"/>
          <w:sz w:val="44"/>
          <w:szCs w:val="44"/>
        </w:rPr>
      </w:pPr>
    </w:p>
    <w:p>
      <w:pPr>
        <w:rPr>
          <w:rStyle w:val="26"/>
          <w:rFonts w:ascii="方正仿宋_GBK" w:hAnsi="仿宋" w:eastAsia="方正仿宋_GBK"/>
        </w:rPr>
      </w:pPr>
      <w:bookmarkStart w:id="90" w:name="_Toc15396619"/>
      <w:r>
        <w:rPr>
          <w:rStyle w:val="26"/>
          <w:rFonts w:hint="eastAsia" w:ascii="方正仿宋_GBK" w:hAnsi="仿宋" w:eastAsia="方正仿宋_GBK"/>
        </w:rPr>
        <w:t>一、收入支出决算总表</w:t>
      </w:r>
      <w:bookmarkEnd w:id="90"/>
    </w:p>
    <w:p>
      <w:pPr>
        <w:rPr>
          <w:rStyle w:val="26"/>
          <w:rFonts w:ascii="方正仿宋_GBK" w:hAnsi="仿宋" w:eastAsia="方正仿宋_GBK"/>
        </w:rPr>
      </w:pPr>
      <w:bookmarkStart w:id="91" w:name="_Toc15396620"/>
      <w:r>
        <w:rPr>
          <w:rStyle w:val="26"/>
          <w:rFonts w:hint="eastAsia" w:ascii="方正仿宋_GBK" w:hAnsi="仿宋" w:eastAsia="方正仿宋_GBK"/>
        </w:rPr>
        <w:t>二、收入决算表</w:t>
      </w:r>
      <w:bookmarkEnd w:id="91"/>
    </w:p>
    <w:p>
      <w:pPr>
        <w:rPr>
          <w:rStyle w:val="26"/>
          <w:rFonts w:ascii="方正仿宋_GBK" w:hAnsi="仿宋" w:eastAsia="方正仿宋_GBK"/>
        </w:rPr>
      </w:pPr>
      <w:bookmarkStart w:id="92" w:name="_Toc49412341"/>
      <w:bookmarkStart w:id="93" w:name="_Toc15396621"/>
      <w:r>
        <w:rPr>
          <w:rStyle w:val="26"/>
          <w:rFonts w:hint="eastAsia" w:ascii="方正仿宋_GBK" w:hAnsi="仿宋" w:eastAsia="方正仿宋_GBK"/>
        </w:rPr>
        <w:t>三、</w:t>
      </w:r>
      <w:bookmarkEnd w:id="92"/>
      <w:r>
        <w:rPr>
          <w:rStyle w:val="26"/>
          <w:rFonts w:hint="eastAsia" w:ascii="方正仿宋_GBK" w:hAnsi="仿宋" w:eastAsia="方正仿宋_GBK"/>
        </w:rPr>
        <w:t>支出决算表</w:t>
      </w:r>
      <w:bookmarkEnd w:id="93"/>
    </w:p>
    <w:p>
      <w:pPr>
        <w:rPr>
          <w:rStyle w:val="26"/>
          <w:rFonts w:ascii="方正仿宋_GBK" w:hAnsi="仿宋" w:eastAsia="方正仿宋_GBK"/>
        </w:rPr>
      </w:pPr>
      <w:bookmarkStart w:id="94" w:name="_Toc49412342"/>
      <w:bookmarkStart w:id="95" w:name="_Toc15396622"/>
      <w:r>
        <w:rPr>
          <w:rStyle w:val="26"/>
          <w:rFonts w:hint="eastAsia" w:ascii="方正仿宋_GBK" w:hAnsi="仿宋" w:eastAsia="方正仿宋_GBK"/>
        </w:rPr>
        <w:t>四、</w:t>
      </w:r>
      <w:bookmarkEnd w:id="94"/>
      <w:r>
        <w:rPr>
          <w:rStyle w:val="26"/>
          <w:rFonts w:hint="eastAsia" w:ascii="方正仿宋_GBK" w:hAnsi="仿宋" w:eastAsia="方正仿宋_GBK"/>
        </w:rPr>
        <w:t>财政拨款收入支出决算总表</w:t>
      </w:r>
      <w:bookmarkEnd w:id="95"/>
    </w:p>
    <w:p>
      <w:pPr>
        <w:rPr>
          <w:rStyle w:val="26"/>
          <w:rFonts w:ascii="方正仿宋_GBK" w:hAnsi="仿宋" w:eastAsia="方正仿宋_GBK"/>
        </w:rPr>
      </w:pPr>
      <w:bookmarkStart w:id="96" w:name="_Toc49412343"/>
      <w:bookmarkStart w:id="97" w:name="_Toc15396623"/>
      <w:r>
        <w:rPr>
          <w:rStyle w:val="26"/>
          <w:rFonts w:hint="eastAsia" w:ascii="方正仿宋_GBK" w:hAnsi="仿宋" w:eastAsia="方正仿宋_GBK"/>
        </w:rPr>
        <w:t>五、</w:t>
      </w:r>
      <w:bookmarkEnd w:id="96"/>
      <w:r>
        <w:rPr>
          <w:rStyle w:val="26"/>
          <w:rFonts w:hint="eastAsia" w:ascii="方正仿宋_GBK" w:hAnsi="仿宋" w:eastAsia="方正仿宋_GBK"/>
        </w:rPr>
        <w:t>财政拨款支出决算明细表</w:t>
      </w:r>
      <w:bookmarkEnd w:id="97"/>
      <w:bookmarkStart w:id="98" w:name="_Toc15396624"/>
    </w:p>
    <w:p>
      <w:pPr>
        <w:rPr>
          <w:rStyle w:val="26"/>
          <w:rFonts w:ascii="方正仿宋_GBK" w:hAnsi="仿宋" w:eastAsia="方正仿宋_GBK"/>
        </w:rPr>
      </w:pPr>
      <w:bookmarkStart w:id="99" w:name="_Toc49412344"/>
      <w:r>
        <w:rPr>
          <w:rStyle w:val="26"/>
          <w:rFonts w:hint="eastAsia" w:ascii="方正仿宋_GBK" w:hAnsi="仿宋" w:eastAsia="方正仿宋_GBK"/>
        </w:rPr>
        <w:t>六、</w:t>
      </w:r>
      <w:bookmarkEnd w:id="99"/>
      <w:r>
        <w:rPr>
          <w:rStyle w:val="26"/>
          <w:rFonts w:hint="eastAsia" w:ascii="方正仿宋_GBK" w:hAnsi="仿宋" w:eastAsia="方正仿宋_GBK"/>
        </w:rPr>
        <w:t>一般公共预算财政拨款支出决算表</w:t>
      </w:r>
      <w:bookmarkEnd w:id="98"/>
    </w:p>
    <w:p>
      <w:pPr>
        <w:rPr>
          <w:rFonts w:ascii="方正仿宋_GBK" w:hAnsi="仿宋" w:eastAsia="方正仿宋_GBK"/>
          <w:color w:val="000000"/>
        </w:rPr>
      </w:pPr>
      <w:bookmarkStart w:id="100" w:name="_Toc49412345"/>
      <w:bookmarkStart w:id="101" w:name="_Toc15396625"/>
      <w:r>
        <w:rPr>
          <w:rStyle w:val="26"/>
          <w:rFonts w:hint="eastAsia" w:ascii="方正仿宋_GBK" w:hAnsi="仿宋" w:eastAsia="方正仿宋_GBK"/>
        </w:rPr>
        <w:t>七、</w:t>
      </w:r>
      <w:bookmarkEnd w:id="100"/>
      <w:r>
        <w:rPr>
          <w:rFonts w:hint="eastAsia" w:ascii="方正仿宋_GBK" w:hAnsi="仿宋" w:eastAsia="方正仿宋_GBK"/>
          <w:color w:val="000000"/>
        </w:rPr>
        <w:t>一</w:t>
      </w:r>
      <w:r>
        <w:rPr>
          <w:rStyle w:val="26"/>
          <w:rFonts w:hint="eastAsia" w:ascii="方正仿宋_GBK" w:hAnsi="仿宋" w:eastAsia="方正仿宋_GBK"/>
        </w:rPr>
        <w:t>般公共预算财政拨款支出决算明细表</w:t>
      </w:r>
      <w:bookmarkEnd w:id="101"/>
    </w:p>
    <w:p>
      <w:pPr>
        <w:rPr>
          <w:rFonts w:ascii="方正仿宋_GBK" w:hAnsi="仿宋" w:eastAsia="方正仿宋_GBK"/>
          <w:color w:val="000000"/>
        </w:rPr>
      </w:pPr>
      <w:bookmarkStart w:id="102" w:name="_Toc49412346"/>
      <w:bookmarkStart w:id="103" w:name="_Toc15396626"/>
      <w:r>
        <w:rPr>
          <w:rStyle w:val="26"/>
          <w:rFonts w:hint="eastAsia" w:ascii="方正仿宋_GBK" w:hAnsi="仿宋" w:eastAsia="方正仿宋_GBK"/>
        </w:rPr>
        <w:t>八、</w:t>
      </w:r>
      <w:bookmarkEnd w:id="102"/>
      <w:r>
        <w:rPr>
          <w:rFonts w:hint="eastAsia" w:ascii="方正仿宋_GBK" w:hAnsi="仿宋" w:eastAsia="方正仿宋_GBK"/>
          <w:color w:val="000000"/>
        </w:rPr>
        <w:t>一</w:t>
      </w:r>
      <w:r>
        <w:rPr>
          <w:rStyle w:val="26"/>
          <w:rFonts w:hint="eastAsia" w:ascii="方正仿宋_GBK" w:hAnsi="仿宋" w:eastAsia="方正仿宋_GBK"/>
        </w:rPr>
        <w:t>般公共预算财政拨款基本支出决算表</w:t>
      </w:r>
      <w:bookmarkEnd w:id="103"/>
    </w:p>
    <w:p>
      <w:pPr>
        <w:rPr>
          <w:rFonts w:ascii="方正仿宋_GBK" w:hAnsi="仿宋" w:eastAsia="方正仿宋_GBK"/>
          <w:color w:val="000000"/>
        </w:rPr>
      </w:pPr>
      <w:bookmarkStart w:id="104" w:name="_Toc49412347"/>
      <w:bookmarkStart w:id="105" w:name="_Toc15396627"/>
      <w:r>
        <w:rPr>
          <w:rStyle w:val="26"/>
          <w:rFonts w:hint="eastAsia" w:ascii="方正仿宋_GBK" w:hAnsi="仿宋" w:eastAsia="方正仿宋_GBK"/>
        </w:rPr>
        <w:t>九、</w:t>
      </w:r>
      <w:bookmarkEnd w:id="104"/>
      <w:r>
        <w:rPr>
          <w:rFonts w:hint="eastAsia" w:ascii="方正仿宋_GBK" w:hAnsi="仿宋" w:eastAsia="方正仿宋_GBK"/>
          <w:color w:val="000000"/>
        </w:rPr>
        <w:t>一</w:t>
      </w:r>
      <w:r>
        <w:rPr>
          <w:rStyle w:val="26"/>
          <w:rFonts w:hint="eastAsia" w:ascii="方正仿宋_GBK" w:hAnsi="仿宋" w:eastAsia="方正仿宋_GBK"/>
        </w:rPr>
        <w:t>般公共预算财政拨款项目支出决算表</w:t>
      </w:r>
      <w:bookmarkEnd w:id="105"/>
    </w:p>
    <w:p>
      <w:pPr>
        <w:rPr>
          <w:rFonts w:ascii="方正仿宋_GBK" w:hAnsi="仿宋" w:eastAsia="方正仿宋_GBK"/>
          <w:color w:val="000000"/>
        </w:rPr>
      </w:pPr>
      <w:bookmarkStart w:id="106" w:name="_Toc49412348"/>
      <w:bookmarkStart w:id="107" w:name="_Toc15396628"/>
      <w:r>
        <w:rPr>
          <w:rStyle w:val="26"/>
          <w:rFonts w:hint="eastAsia" w:ascii="方正仿宋_GBK" w:hAnsi="仿宋" w:eastAsia="方正仿宋_GBK"/>
        </w:rPr>
        <w:t>十、</w:t>
      </w:r>
      <w:bookmarkEnd w:id="106"/>
      <w:r>
        <w:rPr>
          <w:rFonts w:hint="eastAsia" w:ascii="方正仿宋_GBK" w:hAnsi="仿宋" w:eastAsia="方正仿宋_GBK"/>
          <w:color w:val="000000"/>
        </w:rPr>
        <w:t>一</w:t>
      </w:r>
      <w:r>
        <w:rPr>
          <w:rStyle w:val="26"/>
          <w:rFonts w:hint="eastAsia" w:ascii="方正仿宋_GBK" w:hAnsi="仿宋" w:eastAsia="方正仿宋_GBK"/>
        </w:rPr>
        <w:t>般公共预算财政拨款“三公”经费支出决算表</w:t>
      </w:r>
      <w:bookmarkEnd w:id="107"/>
    </w:p>
    <w:p>
      <w:pPr>
        <w:rPr>
          <w:rStyle w:val="26"/>
          <w:rFonts w:ascii="方正仿宋_GBK" w:hAnsi="仿宋" w:eastAsia="方正仿宋_GBK"/>
        </w:rPr>
      </w:pPr>
      <w:bookmarkStart w:id="108" w:name="_Toc49412349"/>
      <w:bookmarkStart w:id="109" w:name="_Toc15396629"/>
      <w:r>
        <w:rPr>
          <w:rStyle w:val="26"/>
          <w:rFonts w:hint="eastAsia" w:ascii="方正仿宋_GBK" w:hAnsi="仿宋" w:eastAsia="方正仿宋_GBK"/>
        </w:rPr>
        <w:t>十一、</w:t>
      </w:r>
      <w:bookmarkEnd w:id="108"/>
      <w:r>
        <w:rPr>
          <w:rStyle w:val="26"/>
          <w:rFonts w:hint="eastAsia" w:ascii="方正仿宋_GBK" w:hAnsi="仿宋" w:eastAsia="方正仿宋_GBK"/>
        </w:rPr>
        <w:t>政府性基金预算财政拨款收入支出决算表</w:t>
      </w:r>
      <w:bookmarkEnd w:id="109"/>
    </w:p>
    <w:p>
      <w:pPr>
        <w:rPr>
          <w:rStyle w:val="26"/>
          <w:rFonts w:ascii="方正仿宋_GBK" w:hAnsi="仿宋" w:eastAsia="方正仿宋_GBK"/>
        </w:rPr>
      </w:pPr>
      <w:bookmarkStart w:id="110" w:name="_Toc49412350"/>
      <w:bookmarkStart w:id="111" w:name="_Toc15396630"/>
      <w:r>
        <w:rPr>
          <w:rStyle w:val="26"/>
          <w:rFonts w:hint="eastAsia" w:ascii="方正仿宋_GBK" w:hAnsi="仿宋" w:eastAsia="方正仿宋_GBK"/>
        </w:rPr>
        <w:t>十二、</w:t>
      </w:r>
      <w:bookmarkEnd w:id="110"/>
      <w:r>
        <w:rPr>
          <w:rStyle w:val="26"/>
          <w:rFonts w:hint="eastAsia" w:ascii="方正仿宋_GBK" w:hAnsi="仿宋" w:eastAsia="方正仿宋_GBK"/>
        </w:rPr>
        <w:t>政府性基金预算财政拨款“三公”经费支出决算表</w:t>
      </w:r>
      <w:bookmarkEnd w:id="111"/>
    </w:p>
    <w:p>
      <w:pPr>
        <w:rPr>
          <w:rStyle w:val="26"/>
          <w:rFonts w:ascii="方正仿宋_GBK" w:hAnsi="仿宋" w:eastAsia="方正仿宋_GBK"/>
        </w:rPr>
      </w:pPr>
      <w:bookmarkStart w:id="112" w:name="_Toc49412351"/>
      <w:bookmarkStart w:id="113" w:name="_Toc15396631"/>
      <w:r>
        <w:rPr>
          <w:rStyle w:val="26"/>
          <w:rFonts w:hint="eastAsia" w:ascii="方正仿宋_GBK" w:hAnsi="仿宋" w:eastAsia="方正仿宋_GBK"/>
        </w:rPr>
        <w:t>十三、</w:t>
      </w:r>
      <w:bookmarkEnd w:id="112"/>
      <w:r>
        <w:rPr>
          <w:rStyle w:val="26"/>
          <w:rFonts w:hint="eastAsia" w:ascii="方正仿宋_GBK" w:hAnsi="仿宋" w:eastAsia="方正仿宋_GBK"/>
        </w:rPr>
        <w:t>国有资本经营预算支出决算表</w:t>
      </w:r>
      <w:bookmarkEnd w:id="113"/>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Calibri">
    <w:panose1 w:val="020F0502020204030204"/>
    <w:charset w:val="86"/>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44</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361C"/>
    <w:rsid w:val="00000ACF"/>
    <w:rsid w:val="000020C9"/>
    <w:rsid w:val="000222C6"/>
    <w:rsid w:val="0002549F"/>
    <w:rsid w:val="000468DB"/>
    <w:rsid w:val="000606C7"/>
    <w:rsid w:val="0006487A"/>
    <w:rsid w:val="00065F8F"/>
    <w:rsid w:val="00070A43"/>
    <w:rsid w:val="000768F2"/>
    <w:rsid w:val="0009184B"/>
    <w:rsid w:val="00094236"/>
    <w:rsid w:val="0009593C"/>
    <w:rsid w:val="00097322"/>
    <w:rsid w:val="000A6A92"/>
    <w:rsid w:val="000B047F"/>
    <w:rsid w:val="000B0F68"/>
    <w:rsid w:val="000B5923"/>
    <w:rsid w:val="000B5A48"/>
    <w:rsid w:val="000B6FF3"/>
    <w:rsid w:val="000C3467"/>
    <w:rsid w:val="000C3CA6"/>
    <w:rsid w:val="000D1267"/>
    <w:rsid w:val="000D1D50"/>
    <w:rsid w:val="000D5782"/>
    <w:rsid w:val="000E19D2"/>
    <w:rsid w:val="000E6613"/>
    <w:rsid w:val="000E7119"/>
    <w:rsid w:val="00114E9B"/>
    <w:rsid w:val="00142216"/>
    <w:rsid w:val="00144D6A"/>
    <w:rsid w:val="0014729F"/>
    <w:rsid w:val="00157BAB"/>
    <w:rsid w:val="001654D1"/>
    <w:rsid w:val="00174518"/>
    <w:rsid w:val="0018106D"/>
    <w:rsid w:val="001877A7"/>
    <w:rsid w:val="00191536"/>
    <w:rsid w:val="00196687"/>
    <w:rsid w:val="001969B8"/>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82F4C"/>
    <w:rsid w:val="00294DC9"/>
    <w:rsid w:val="00295495"/>
    <w:rsid w:val="002A31DE"/>
    <w:rsid w:val="002B2613"/>
    <w:rsid w:val="002D19B0"/>
    <w:rsid w:val="002D6D05"/>
    <w:rsid w:val="002D78EF"/>
    <w:rsid w:val="002F1818"/>
    <w:rsid w:val="002F567B"/>
    <w:rsid w:val="0031292A"/>
    <w:rsid w:val="003216A9"/>
    <w:rsid w:val="00325926"/>
    <w:rsid w:val="00335A74"/>
    <w:rsid w:val="0036561B"/>
    <w:rsid w:val="0037013F"/>
    <w:rsid w:val="00380C92"/>
    <w:rsid w:val="003A484F"/>
    <w:rsid w:val="003A4883"/>
    <w:rsid w:val="003A78DC"/>
    <w:rsid w:val="003B0BE0"/>
    <w:rsid w:val="003B0C1B"/>
    <w:rsid w:val="003B30B5"/>
    <w:rsid w:val="003B688C"/>
    <w:rsid w:val="003C0291"/>
    <w:rsid w:val="003C39AE"/>
    <w:rsid w:val="003C7B60"/>
    <w:rsid w:val="003D0C0F"/>
    <w:rsid w:val="003D1FB2"/>
    <w:rsid w:val="003D66DA"/>
    <w:rsid w:val="003D7ED1"/>
    <w:rsid w:val="003E1310"/>
    <w:rsid w:val="003E6F55"/>
    <w:rsid w:val="00406254"/>
    <w:rsid w:val="00416CD4"/>
    <w:rsid w:val="004223DE"/>
    <w:rsid w:val="00434489"/>
    <w:rsid w:val="00437085"/>
    <w:rsid w:val="00443880"/>
    <w:rsid w:val="004464F4"/>
    <w:rsid w:val="00471401"/>
    <w:rsid w:val="00473F31"/>
    <w:rsid w:val="00481D47"/>
    <w:rsid w:val="0048263A"/>
    <w:rsid w:val="0048615F"/>
    <w:rsid w:val="00487E5D"/>
    <w:rsid w:val="004A711F"/>
    <w:rsid w:val="004B199D"/>
    <w:rsid w:val="004B4690"/>
    <w:rsid w:val="004D0D00"/>
    <w:rsid w:val="004E0A2D"/>
    <w:rsid w:val="004E206B"/>
    <w:rsid w:val="004E6DF7"/>
    <w:rsid w:val="004F0FBD"/>
    <w:rsid w:val="004F403E"/>
    <w:rsid w:val="00505A47"/>
    <w:rsid w:val="00512FDA"/>
    <w:rsid w:val="0052046B"/>
    <w:rsid w:val="00520DA0"/>
    <w:rsid w:val="00566091"/>
    <w:rsid w:val="005664BB"/>
    <w:rsid w:val="00566FFA"/>
    <w:rsid w:val="0057481D"/>
    <w:rsid w:val="00575F0B"/>
    <w:rsid w:val="00580514"/>
    <w:rsid w:val="0058486E"/>
    <w:rsid w:val="00585B33"/>
    <w:rsid w:val="0059014D"/>
    <w:rsid w:val="005A07B8"/>
    <w:rsid w:val="005B5C64"/>
    <w:rsid w:val="005C3F68"/>
    <w:rsid w:val="005C6BD0"/>
    <w:rsid w:val="005C6C4C"/>
    <w:rsid w:val="005D1C8B"/>
    <w:rsid w:val="005D468D"/>
    <w:rsid w:val="005D5CED"/>
    <w:rsid w:val="005F1A4C"/>
    <w:rsid w:val="005F3AE0"/>
    <w:rsid w:val="00605688"/>
    <w:rsid w:val="006070AF"/>
    <w:rsid w:val="00607E6C"/>
    <w:rsid w:val="006101B1"/>
    <w:rsid w:val="00614E44"/>
    <w:rsid w:val="0062270A"/>
    <w:rsid w:val="00622830"/>
    <w:rsid w:val="00623DA0"/>
    <w:rsid w:val="0062439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6F7CC5"/>
    <w:rsid w:val="007127B7"/>
    <w:rsid w:val="0071798E"/>
    <w:rsid w:val="00722EBB"/>
    <w:rsid w:val="00727533"/>
    <w:rsid w:val="007416B6"/>
    <w:rsid w:val="00746F48"/>
    <w:rsid w:val="0075404D"/>
    <w:rsid w:val="0076182A"/>
    <w:rsid w:val="00767B7E"/>
    <w:rsid w:val="007770C3"/>
    <w:rsid w:val="00784D24"/>
    <w:rsid w:val="00785FBA"/>
    <w:rsid w:val="00786E4A"/>
    <w:rsid w:val="007875EB"/>
    <w:rsid w:val="0079056E"/>
    <w:rsid w:val="0079426B"/>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0D74"/>
    <w:rsid w:val="00853718"/>
    <w:rsid w:val="00855221"/>
    <w:rsid w:val="008555DB"/>
    <w:rsid w:val="00860645"/>
    <w:rsid w:val="00871F71"/>
    <w:rsid w:val="00872FD8"/>
    <w:rsid w:val="00885AF4"/>
    <w:rsid w:val="008939CD"/>
    <w:rsid w:val="008A14DF"/>
    <w:rsid w:val="008A68B8"/>
    <w:rsid w:val="008B768C"/>
    <w:rsid w:val="008C4DB1"/>
    <w:rsid w:val="008C4EAF"/>
    <w:rsid w:val="008C5176"/>
    <w:rsid w:val="008C7FD0"/>
    <w:rsid w:val="008E1DE7"/>
    <w:rsid w:val="008E707C"/>
    <w:rsid w:val="008F7EBA"/>
    <w:rsid w:val="00900B08"/>
    <w:rsid w:val="00901B92"/>
    <w:rsid w:val="00902155"/>
    <w:rsid w:val="00902FA3"/>
    <w:rsid w:val="00911D3D"/>
    <w:rsid w:val="00923564"/>
    <w:rsid w:val="0092392E"/>
    <w:rsid w:val="009315F9"/>
    <w:rsid w:val="00933499"/>
    <w:rsid w:val="00935C98"/>
    <w:rsid w:val="00946945"/>
    <w:rsid w:val="00951248"/>
    <w:rsid w:val="0095152F"/>
    <w:rsid w:val="00954C49"/>
    <w:rsid w:val="00955E37"/>
    <w:rsid w:val="0097099F"/>
    <w:rsid w:val="00971997"/>
    <w:rsid w:val="00971FFC"/>
    <w:rsid w:val="00973197"/>
    <w:rsid w:val="0098660A"/>
    <w:rsid w:val="009931C3"/>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35696"/>
    <w:rsid w:val="00A40A00"/>
    <w:rsid w:val="00A4142F"/>
    <w:rsid w:val="00A422EB"/>
    <w:rsid w:val="00A45BB7"/>
    <w:rsid w:val="00A56DF2"/>
    <w:rsid w:val="00A56E6E"/>
    <w:rsid w:val="00A67AB5"/>
    <w:rsid w:val="00A71215"/>
    <w:rsid w:val="00A733B2"/>
    <w:rsid w:val="00A741C2"/>
    <w:rsid w:val="00A91760"/>
    <w:rsid w:val="00A93B00"/>
    <w:rsid w:val="00A93C21"/>
    <w:rsid w:val="00AA25D2"/>
    <w:rsid w:val="00AB5281"/>
    <w:rsid w:val="00AB64C9"/>
    <w:rsid w:val="00AC3C6A"/>
    <w:rsid w:val="00AD0DDF"/>
    <w:rsid w:val="00AD0F83"/>
    <w:rsid w:val="00AD5620"/>
    <w:rsid w:val="00AD656B"/>
    <w:rsid w:val="00AD7C1B"/>
    <w:rsid w:val="00AE16BA"/>
    <w:rsid w:val="00AE1EBE"/>
    <w:rsid w:val="00B03C9D"/>
    <w:rsid w:val="00B060AE"/>
    <w:rsid w:val="00B10517"/>
    <w:rsid w:val="00B14E76"/>
    <w:rsid w:val="00B15B2F"/>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04BCF"/>
    <w:rsid w:val="00C30E69"/>
    <w:rsid w:val="00C31016"/>
    <w:rsid w:val="00C33E72"/>
    <w:rsid w:val="00C354B2"/>
    <w:rsid w:val="00C35554"/>
    <w:rsid w:val="00C37D94"/>
    <w:rsid w:val="00C42709"/>
    <w:rsid w:val="00C533CC"/>
    <w:rsid w:val="00C5751C"/>
    <w:rsid w:val="00C61BFC"/>
    <w:rsid w:val="00C62B85"/>
    <w:rsid w:val="00C65438"/>
    <w:rsid w:val="00C824E5"/>
    <w:rsid w:val="00C91CBB"/>
    <w:rsid w:val="00CA4A88"/>
    <w:rsid w:val="00CB4E70"/>
    <w:rsid w:val="00CC09B6"/>
    <w:rsid w:val="00CC666F"/>
    <w:rsid w:val="00CD1E3F"/>
    <w:rsid w:val="00CE44F6"/>
    <w:rsid w:val="00CE49DA"/>
    <w:rsid w:val="00CE7B61"/>
    <w:rsid w:val="00CE7E48"/>
    <w:rsid w:val="00CF5609"/>
    <w:rsid w:val="00D00095"/>
    <w:rsid w:val="00D114F0"/>
    <w:rsid w:val="00D20620"/>
    <w:rsid w:val="00D254F7"/>
    <w:rsid w:val="00D26091"/>
    <w:rsid w:val="00D2685C"/>
    <w:rsid w:val="00D34E7C"/>
    <w:rsid w:val="00D35489"/>
    <w:rsid w:val="00D36AFE"/>
    <w:rsid w:val="00D51276"/>
    <w:rsid w:val="00D54A4B"/>
    <w:rsid w:val="00D7035F"/>
    <w:rsid w:val="00D74164"/>
    <w:rsid w:val="00D90C55"/>
    <w:rsid w:val="00DA634F"/>
    <w:rsid w:val="00DA64DC"/>
    <w:rsid w:val="00DA65AC"/>
    <w:rsid w:val="00DB1913"/>
    <w:rsid w:val="00DB4F25"/>
    <w:rsid w:val="00DC410D"/>
    <w:rsid w:val="00DC5A81"/>
    <w:rsid w:val="00DC68CA"/>
    <w:rsid w:val="00DC7CBA"/>
    <w:rsid w:val="00DD73B7"/>
    <w:rsid w:val="00DE5C85"/>
    <w:rsid w:val="00DF28BC"/>
    <w:rsid w:val="00DF34B9"/>
    <w:rsid w:val="00E01053"/>
    <w:rsid w:val="00E07ACF"/>
    <w:rsid w:val="00E125DB"/>
    <w:rsid w:val="00E26FEF"/>
    <w:rsid w:val="00E331A1"/>
    <w:rsid w:val="00E33202"/>
    <w:rsid w:val="00E336A9"/>
    <w:rsid w:val="00E472B1"/>
    <w:rsid w:val="00E50624"/>
    <w:rsid w:val="00E568DF"/>
    <w:rsid w:val="00E64269"/>
    <w:rsid w:val="00E66797"/>
    <w:rsid w:val="00E82267"/>
    <w:rsid w:val="00E853CE"/>
    <w:rsid w:val="00E867B6"/>
    <w:rsid w:val="00E87F08"/>
    <w:rsid w:val="00EA010F"/>
    <w:rsid w:val="00ED1B63"/>
    <w:rsid w:val="00ED3C1F"/>
    <w:rsid w:val="00ED4085"/>
    <w:rsid w:val="00ED420E"/>
    <w:rsid w:val="00ED6FBE"/>
    <w:rsid w:val="00EE2F57"/>
    <w:rsid w:val="00EF4C34"/>
    <w:rsid w:val="00EF77C6"/>
    <w:rsid w:val="00F05438"/>
    <w:rsid w:val="00F1361C"/>
    <w:rsid w:val="00F156F0"/>
    <w:rsid w:val="00F160C7"/>
    <w:rsid w:val="00F16900"/>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AF2783"/>
    <w:rsid w:val="048F37A4"/>
    <w:rsid w:val="0562483D"/>
    <w:rsid w:val="06472969"/>
    <w:rsid w:val="08072FE8"/>
    <w:rsid w:val="085A1786"/>
    <w:rsid w:val="088C2414"/>
    <w:rsid w:val="090F12C8"/>
    <w:rsid w:val="0C5E7B38"/>
    <w:rsid w:val="10C055FF"/>
    <w:rsid w:val="11537F38"/>
    <w:rsid w:val="11E855A3"/>
    <w:rsid w:val="12615C30"/>
    <w:rsid w:val="12D65551"/>
    <w:rsid w:val="135E0391"/>
    <w:rsid w:val="14C3454E"/>
    <w:rsid w:val="15437E71"/>
    <w:rsid w:val="15B0688B"/>
    <w:rsid w:val="16BB723D"/>
    <w:rsid w:val="16DF5A44"/>
    <w:rsid w:val="179E27D0"/>
    <w:rsid w:val="18526F4B"/>
    <w:rsid w:val="19B869A7"/>
    <w:rsid w:val="1A0E1AA7"/>
    <w:rsid w:val="1AE75129"/>
    <w:rsid w:val="21D84D1E"/>
    <w:rsid w:val="23CE3FB0"/>
    <w:rsid w:val="240371BF"/>
    <w:rsid w:val="24416490"/>
    <w:rsid w:val="251E2A4F"/>
    <w:rsid w:val="28C10822"/>
    <w:rsid w:val="29FD04D3"/>
    <w:rsid w:val="2D81585B"/>
    <w:rsid w:val="2EE37B59"/>
    <w:rsid w:val="2F0C1299"/>
    <w:rsid w:val="31161E96"/>
    <w:rsid w:val="318A06FA"/>
    <w:rsid w:val="319F7F4E"/>
    <w:rsid w:val="338D71A9"/>
    <w:rsid w:val="34857464"/>
    <w:rsid w:val="34A92FB5"/>
    <w:rsid w:val="35A13C3B"/>
    <w:rsid w:val="36EB3203"/>
    <w:rsid w:val="37F47A78"/>
    <w:rsid w:val="39524593"/>
    <w:rsid w:val="3B346D2A"/>
    <w:rsid w:val="3C2876ED"/>
    <w:rsid w:val="3C2F14CE"/>
    <w:rsid w:val="3D67127D"/>
    <w:rsid w:val="3D6757B9"/>
    <w:rsid w:val="3E8C7BF6"/>
    <w:rsid w:val="3ED936C3"/>
    <w:rsid w:val="3F6617B0"/>
    <w:rsid w:val="3F75672F"/>
    <w:rsid w:val="427D1423"/>
    <w:rsid w:val="43A662C9"/>
    <w:rsid w:val="455C643A"/>
    <w:rsid w:val="4B5E4C01"/>
    <w:rsid w:val="4BCC1CA0"/>
    <w:rsid w:val="4C696B4C"/>
    <w:rsid w:val="4DD46F4A"/>
    <w:rsid w:val="4E1F1093"/>
    <w:rsid w:val="4E961368"/>
    <w:rsid w:val="4ECE2238"/>
    <w:rsid w:val="5025287C"/>
    <w:rsid w:val="507506E9"/>
    <w:rsid w:val="52FA35E6"/>
    <w:rsid w:val="54186EAC"/>
    <w:rsid w:val="54631B31"/>
    <w:rsid w:val="568A62BB"/>
    <w:rsid w:val="578E0DCA"/>
    <w:rsid w:val="57DB4B0B"/>
    <w:rsid w:val="5A2D645E"/>
    <w:rsid w:val="5D13631D"/>
    <w:rsid w:val="5DEF2FEC"/>
    <w:rsid w:val="5F6C445E"/>
    <w:rsid w:val="60532A7F"/>
    <w:rsid w:val="60E23C59"/>
    <w:rsid w:val="626452E5"/>
    <w:rsid w:val="63941EF6"/>
    <w:rsid w:val="63CB0E4D"/>
    <w:rsid w:val="63E96CFB"/>
    <w:rsid w:val="64BD3C6F"/>
    <w:rsid w:val="64CE0027"/>
    <w:rsid w:val="65DC415A"/>
    <w:rsid w:val="67661E8F"/>
    <w:rsid w:val="696E1157"/>
    <w:rsid w:val="69C20492"/>
    <w:rsid w:val="69EC5DDF"/>
    <w:rsid w:val="6A022418"/>
    <w:rsid w:val="6AC4028E"/>
    <w:rsid w:val="6C2D2B33"/>
    <w:rsid w:val="6F2D2BAC"/>
    <w:rsid w:val="6FEA3DC8"/>
    <w:rsid w:val="72734D90"/>
    <w:rsid w:val="738277BE"/>
    <w:rsid w:val="755C4411"/>
    <w:rsid w:val="761C491D"/>
    <w:rsid w:val="77E73897"/>
    <w:rsid w:val="77F818A4"/>
    <w:rsid w:val="78231620"/>
    <w:rsid w:val="790E25DE"/>
    <w:rsid w:val="793120CD"/>
    <w:rsid w:val="79FE4B54"/>
    <w:rsid w:val="7B800CB5"/>
    <w:rsid w:val="7D0374BD"/>
    <w:rsid w:val="7D6D195F"/>
    <w:rsid w:val="7DA24B1F"/>
    <w:rsid w:val="7DC84D47"/>
    <w:rsid w:val="7EEF749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page number"/>
    <w:basedOn w:val="13"/>
    <w:qFormat/>
    <w:uiPriority w:val="0"/>
  </w:style>
  <w:style w:type="character" w:styleId="16">
    <w:name w:val="Hyperlink"/>
    <w:basedOn w:val="13"/>
    <w:unhideWhenUsed/>
    <w:qFormat/>
    <w:uiPriority w:val="99"/>
    <w:rPr>
      <w:color w:val="0000FF" w:themeColor="hyperlink"/>
      <w:u w:val="single"/>
    </w:rPr>
  </w:style>
  <w:style w:type="character" w:customStyle="1" w:styleId="17">
    <w:name w:val="Header Char"/>
    <w:basedOn w:val="13"/>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3"/>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3"/>
    <w:semiHidden/>
    <w:qFormat/>
    <w:uiPriority w:val="99"/>
    <w:rPr>
      <w:rFonts w:ascii="Times New Roman" w:hAnsi="Times New Roman"/>
      <w:szCs w:val="24"/>
    </w:rPr>
  </w:style>
  <w:style w:type="character" w:customStyle="1" w:styleId="22">
    <w:name w:val="正文文本 Char"/>
    <w:link w:val="5"/>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3"/>
    <w:link w:val="2"/>
    <w:qFormat/>
    <w:uiPriority w:val="9"/>
    <w:rPr>
      <w:rFonts w:ascii="Times New Roman" w:hAnsi="Times New Roman"/>
      <w:b/>
      <w:bCs/>
      <w:kern w:val="44"/>
      <w:sz w:val="44"/>
      <w:szCs w:val="44"/>
    </w:rPr>
  </w:style>
  <w:style w:type="character" w:customStyle="1" w:styleId="26">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character" w:customStyle="1" w:styleId="29">
    <w:name w:val="标题 3 Char"/>
    <w:basedOn w:val="13"/>
    <w:link w:val="4"/>
    <w:qFormat/>
    <w:uiPriority w:val="9"/>
    <w:rPr>
      <w:rFonts w:ascii="Times New Roman" w:hAnsi="Times New Roman"/>
      <w:b/>
      <w:bCs/>
      <w:kern w:val="2"/>
      <w:sz w:val="32"/>
      <w:szCs w:val="32"/>
    </w:rPr>
  </w:style>
  <w:style w:type="paragraph" w:customStyle="1" w:styleId="3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1">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esktop\2020&#24180;&#32463;&#36153;&#20915;&#31639;&#20844;&#24320;\&#20915;&#31639;&#30011;&#22270;&#26679;&#26412;%20(20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esktop\2020&#24180;&#32463;&#36153;&#20915;&#31639;&#20844;&#24320;\&#20915;&#31639;&#30011;&#22270;&#26679;&#26412;%20(20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enovo\Desktop\2020&#24180;&#32463;&#36153;&#20915;&#31639;&#20844;&#24320;\&#20915;&#31639;&#30011;&#22270;&#26679;&#26412;%20(20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enovo\Desktop\2020&#24180;&#32463;&#36153;&#20915;&#31639;&#20844;&#24320;\&#20915;&#31639;&#30011;&#22270;&#26679;&#26412;%20(20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enovo\Desktop\&#24453;&#21150;&#24037;&#20316;\2020&#24180;&#32463;&#36153;&#20915;&#31639;&#20844;&#24320;\&#20915;&#31639;&#30011;&#22270;&#26679;&#26412;%20(20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enovo\Desktop\&#24453;&#21150;&#24037;&#20316;\2020&#24180;&#32463;&#36153;&#20915;&#31639;&#20844;&#24320;\&#20915;&#31639;&#30011;&#22270;&#26679;&#26412;%20(202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lenovo\Desktop\2020&#24180;&#32463;&#36153;&#20915;&#31639;&#20844;&#24320;\&#20915;&#31639;&#30011;&#22270;&#26679;&#26412;%20(20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sz="1100" b="0" i="0" u="none" strike="noStrike" baseline="0">
                <a:solidFill>
                  <a:srgbClr val="000000"/>
                </a:solidFill>
                <a:latin typeface="宋体" panose="02010600030101010101" charset="-122"/>
                <a:ea typeface="宋体" panose="02010600030101010101" charset="-122"/>
                <a:cs typeface="宋体" panose="02010600030101010101" charset="-122"/>
              </a:rPr>
              <a:t>图一：</a:t>
            </a:r>
            <a:r>
              <a:rPr lang="zh-CN" altLang="zh-CN" sz="1100" b="0" i="0" u="none" strike="noStrike" baseline="0">
                <a:solidFill>
                  <a:srgbClr val="000000"/>
                </a:solidFill>
                <a:latin typeface="宋体" panose="02010600030101010101" charset="-122"/>
                <a:ea typeface="宋体" panose="02010600030101010101" charset="-122"/>
                <a:cs typeface="宋体" panose="02010600030101010101" charset="-122"/>
              </a:rPr>
              <a:t>收、支决算总计变动情况图</a:t>
            </a:r>
            <a:endPar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barChart>
        <c:barDir val="col"/>
        <c:grouping val="clustered"/>
        <c:varyColors val="0"/>
        <c:ser>
          <c:idx val="0"/>
          <c:order val="0"/>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'[决算画图样本 (2020).xls]Sheet2'!$A$2:$A$5</c:f>
              <c:strCache>
                <c:ptCount val="4"/>
                <c:pt idx="0">
                  <c:v>2019年收入总额</c:v>
                </c:pt>
                <c:pt idx="1">
                  <c:v>2020年收入总额</c:v>
                </c:pt>
                <c:pt idx="2">
                  <c:v>2019年支出总额</c:v>
                </c:pt>
                <c:pt idx="3">
                  <c:v>2020年支出总额</c:v>
                </c:pt>
              </c:strCache>
            </c:strRef>
          </c:cat>
          <c:val>
            <c:numRef>
              <c:f>'[决算画图样本 (2020).xls]Sheet2'!$B$2:$B$5</c:f>
              <c:numCache>
                <c:formatCode>General</c:formatCode>
                <c:ptCount val="4"/>
                <c:pt idx="0">
                  <c:v>1241.34</c:v>
                </c:pt>
                <c:pt idx="1">
                  <c:v>1089.61</c:v>
                </c:pt>
                <c:pt idx="2">
                  <c:v>1118.02</c:v>
                </c:pt>
                <c:pt idx="3">
                  <c:v>1215.66</c:v>
                </c:pt>
              </c:numCache>
            </c:numRef>
          </c:val>
        </c:ser>
        <c:dLbls>
          <c:showLegendKey val="0"/>
          <c:showVal val="1"/>
          <c:showCatName val="0"/>
          <c:showSerName val="0"/>
          <c:showPercent val="0"/>
          <c:showBubbleSize val="0"/>
        </c:dLbls>
        <c:gapWidth val="150"/>
        <c:overlap val="-25"/>
        <c:axId val="644752767"/>
        <c:axId val="883572172"/>
      </c:barChart>
      <c:catAx>
        <c:axId val="644752767"/>
        <c:scaling>
          <c:orientation val="minMax"/>
        </c:scaling>
        <c:delete val="0"/>
        <c:axPos val="b"/>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83572172"/>
        <c:crosses val="autoZero"/>
        <c:auto val="1"/>
        <c:lblAlgn val="ctr"/>
        <c:lblOffset val="100"/>
        <c:noMultiLvlLbl val="0"/>
      </c:catAx>
      <c:valAx>
        <c:axId val="883572172"/>
        <c:scaling>
          <c:orientation val="minMax"/>
        </c:scaling>
        <c:delete val="1"/>
        <c:axPos val="l"/>
        <c:numFmt formatCode="General" sourceLinked="1"/>
        <c:majorTickMark val="out"/>
        <c:minorTickMark val="none"/>
        <c:tickLblPos val="none"/>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644752767"/>
        <c:crosses val="autoZero"/>
        <c:crossBetween val="between"/>
      </c:valAx>
    </c:plotArea>
    <c:plotVisOnly val="1"/>
    <c:dispBlanksAs val="gap"/>
    <c:showDLblsOverMax val="0"/>
  </c:chart>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rPr>
              <a:t>图</a:t>
            </a:r>
            <a:r>
              <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rPr>
              <a:t>2</a:t>
            </a:r>
            <a:r>
              <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rPr>
              <a:t>：</a:t>
            </a:r>
            <a:r>
              <a:rPr lang="zh-CN" altLang="zh-CN" sz="1200" b="0" i="0" u="none" strike="noStrike" baseline="0">
                <a:solidFill>
                  <a:srgbClr val="000000"/>
                </a:solidFill>
                <a:latin typeface="宋体" panose="02010600030101010101" charset="-122"/>
                <a:ea typeface="宋体" panose="02010600030101010101" charset="-122"/>
                <a:cs typeface="宋体" panose="02010600030101010101" charset="-122"/>
              </a:rPr>
              <a:t>收入决算结构图</a:t>
            </a:r>
            <a:endPar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pieChart>
        <c:varyColors val="1"/>
        <c:ser>
          <c:idx val="0"/>
          <c:order val="0"/>
          <c:explosion val="0"/>
          <c:dPt>
            <c:idx val="0"/>
            <c:bubble3D val="0"/>
            <c:explosion val="0"/>
            <c:spPr>
              <a:solidFill>
                <a:srgbClr val="5B9BD5">
                  <a:alpha val="100000"/>
                </a:srgbClr>
              </a:solidFill>
              <a:ln w="19050">
                <a:solidFill>
                  <a:srgbClr val="FFFFFF">
                    <a:alpha val="100000"/>
                  </a:srgbClr>
                </a:solidFill>
                <a:prstDash val="solid"/>
              </a:ln>
            </c:spPr>
          </c:dPt>
          <c:dPt>
            <c:idx val="1"/>
            <c:bubble3D val="0"/>
            <c:explosion val="0"/>
            <c:spPr>
              <a:solidFill>
                <a:srgbClr val="ED7D31">
                  <a:alpha val="100000"/>
                </a:srgbClr>
              </a:solidFill>
              <a:ln w="19050">
                <a:solidFill>
                  <a:srgbClr val="FFFFFF">
                    <a:alpha val="100000"/>
                  </a:srgbClr>
                </a:solidFill>
                <a:prstDash val="solid"/>
              </a:ln>
            </c:spPr>
          </c:dPt>
          <c:dPt>
            <c:idx val="2"/>
            <c:bubble3D val="0"/>
            <c:explosion val="0"/>
            <c:spPr>
              <a:solidFill>
                <a:srgbClr val="A5A5A5">
                  <a:alpha val="100000"/>
                </a:srgbClr>
              </a:solidFill>
              <a:ln w="19050">
                <a:solidFill>
                  <a:srgbClr val="FFFFFF">
                    <a:alpha val="100000"/>
                  </a:srgbClr>
                </a:solidFill>
                <a:prstDash val="solid"/>
              </a:ln>
            </c:spPr>
          </c:dPt>
          <c:dPt>
            <c:idx val="3"/>
            <c:bubble3D val="0"/>
            <c:explosion val="0"/>
            <c:spPr>
              <a:solidFill>
                <a:srgbClr val="FFC000">
                  <a:alpha val="100000"/>
                </a:srgbClr>
              </a:solidFill>
              <a:ln w="19050">
                <a:solidFill>
                  <a:srgbClr val="FFFFFF">
                    <a:alpha val="100000"/>
                  </a:srgbClr>
                </a:solidFill>
                <a:prstDash val="solid"/>
              </a:ln>
            </c:spPr>
          </c:dPt>
          <c:dPt>
            <c:idx val="4"/>
            <c:bubble3D val="0"/>
            <c:explosion val="0"/>
            <c:spPr>
              <a:solidFill>
                <a:srgbClr val="4472C4">
                  <a:alpha val="100000"/>
                </a:srgbClr>
              </a:solidFill>
              <a:ln w="19050">
                <a:solidFill>
                  <a:srgbClr val="FFFFFF">
                    <a:alpha val="100000"/>
                  </a:srgbClr>
                </a:solidFill>
                <a:prstDash val="solid"/>
              </a:ln>
            </c:spPr>
          </c:dPt>
          <c:dPt>
            <c:idx val="5"/>
            <c:bubble3D val="0"/>
            <c:explosion val="0"/>
            <c:spPr>
              <a:solidFill>
                <a:srgbClr val="70AD47">
                  <a:alpha val="100000"/>
                </a:srgbClr>
              </a:solidFill>
              <a:ln w="19050">
                <a:solidFill>
                  <a:srgbClr val="FFFFFF">
                    <a:alpha val="100000"/>
                  </a:srgbClr>
                </a:solidFill>
                <a:prstDash val="solid"/>
              </a:ln>
            </c:spPr>
          </c:dPt>
          <c:dPt>
            <c:idx val="6"/>
            <c:bubble3D val="0"/>
            <c:explosion val="0"/>
            <c:spPr>
              <a:solidFill>
                <a:schemeClr val="accent1">
                  <a:lumMod val="60000"/>
                </a:schemeClr>
              </a:soli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'[决算画图样本 (2020).xls]Sheet2'!$A$12:$A$18</c:f>
              <c:strCache>
                <c:ptCount val="7"/>
                <c:pt idx="0">
                  <c:v>一般公共预算财政拨款收入</c:v>
                </c:pt>
                <c:pt idx="1">
                  <c:v>政府性基金预算财政拨款</c:v>
                </c:pt>
                <c:pt idx="2">
                  <c:v>国有资本经营预算财政拨款收入
</c:v>
                </c:pt>
                <c:pt idx="3">
                  <c:v>事业收入</c:v>
                </c:pt>
                <c:pt idx="4">
                  <c:v>经营收入</c:v>
                </c:pt>
                <c:pt idx="5">
                  <c:v>附属单位上缴收入</c:v>
                </c:pt>
                <c:pt idx="6">
                  <c:v>其他收入</c:v>
                </c:pt>
              </c:strCache>
            </c:strRef>
          </c:cat>
          <c:val>
            <c:numRef>
              <c:f>'[决算画图样本 (2020).xls]Sheet2'!$B$12:$B$18</c:f>
              <c:numCache>
                <c:formatCode>General</c:formatCode>
                <c:ptCount val="7"/>
                <c:pt idx="0">
                  <c:v>474.63</c:v>
                </c:pt>
                <c:pt idx="1">
                  <c:v>614.98</c:v>
                </c:pt>
                <c:pt idx="2" c:formatCode="#,##0.00">
                  <c:v>0</c:v>
                </c:pt>
                <c:pt idx="3" c:formatCode="#,##0.00">
                  <c:v>0</c:v>
                </c:pt>
                <c:pt idx="4" c:formatCode="#,##0.00">
                  <c:v>0</c:v>
                </c:pt>
                <c:pt idx="5" c:formatCode="#,##0.00">
                  <c:v>0</c:v>
                </c:pt>
                <c:pt idx="6" c:formatCode="#,##0.00">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400" b="0" i="0" u="none" strike="noStrike" baseline="0">
                <a:solidFill>
                  <a:srgbClr val="333333"/>
                </a:solidFill>
                <a:latin typeface="宋体" panose="02010600030101010101" charset="-122"/>
                <a:ea typeface="宋体" panose="02010600030101010101" charset="-122"/>
                <a:cs typeface="宋体" panose="02010600030101010101" charset="-122"/>
              </a:rPr>
              <a:t>图</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3</a:t>
            </a:r>
            <a:r>
              <a:rPr lang="zh-CN" altLang="en-US"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pieChart>
        <c:varyColors val="1"/>
        <c:ser>
          <c:idx val="0"/>
          <c:order val="0"/>
          <c:explosion val="0"/>
          <c:dPt>
            <c:idx val="0"/>
            <c:bubble3D val="0"/>
            <c:explosion val="0"/>
            <c:spPr>
              <a:solidFill>
                <a:srgbClr val="5B9BD5">
                  <a:alpha val="100000"/>
                </a:srgbClr>
              </a:solidFill>
              <a:ln w="19050">
                <a:solidFill>
                  <a:srgbClr val="FFFFFF">
                    <a:alpha val="100000"/>
                  </a:srgbClr>
                </a:solidFill>
                <a:prstDash val="solid"/>
              </a:ln>
            </c:spPr>
          </c:dPt>
          <c:dPt>
            <c:idx val="1"/>
            <c:bubble3D val="0"/>
            <c:explosion val="0"/>
            <c:spPr>
              <a:solidFill>
                <a:srgbClr val="ED7D31">
                  <a:alpha val="100000"/>
                </a:srgbClr>
              </a:solidFill>
              <a:ln w="19050">
                <a:solidFill>
                  <a:srgbClr val="FFFFFF">
                    <a:alpha val="100000"/>
                  </a:srgbClr>
                </a:solidFill>
                <a:prstDash val="solid"/>
              </a:ln>
            </c:spPr>
          </c:dPt>
          <c:dPt>
            <c:idx val="2"/>
            <c:bubble3D val="0"/>
            <c:explosion val="0"/>
            <c:spPr>
              <a:solidFill>
                <a:srgbClr val="A5A5A5">
                  <a:alpha val="100000"/>
                </a:srgbClr>
              </a:solidFill>
              <a:ln w="19050">
                <a:solidFill>
                  <a:srgbClr val="FFFFFF">
                    <a:alpha val="100000"/>
                  </a:srgbClr>
                </a:solidFill>
                <a:prstDash val="solid"/>
              </a:ln>
            </c:spPr>
          </c:dPt>
          <c:dPt>
            <c:idx val="3"/>
            <c:bubble3D val="0"/>
            <c:explosion val="0"/>
            <c:spPr>
              <a:solidFill>
                <a:srgbClr val="FFC000">
                  <a:alpha val="100000"/>
                </a:srgbClr>
              </a:solidFill>
              <a:ln w="19050">
                <a:solidFill>
                  <a:srgbClr val="FFFFFF">
                    <a:alpha val="100000"/>
                  </a:srgbClr>
                </a:solidFill>
                <a:prstDash val="solid"/>
              </a:ln>
            </c:spPr>
          </c:dPt>
          <c:dPt>
            <c:idx val="4"/>
            <c:bubble3D val="0"/>
            <c:explosion val="0"/>
            <c:spPr>
              <a:solidFill>
                <a:srgbClr val="4472C4">
                  <a:alpha val="100000"/>
                </a:srgbClr>
              </a:solidFill>
              <a:ln w="19050">
                <a:solidFill>
                  <a:srgbClr val="FFFFFF">
                    <a:alpha val="100000"/>
                  </a:srgbClr>
                </a:solidFill>
                <a:prstDash val="solid"/>
              </a:ln>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1"/>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'[决算画图样本 (2020).xls]Sheet2'!$A$25:$A$29</c:f>
              <c:strCache>
                <c:ptCount val="5"/>
                <c:pt idx="0">
                  <c:v>基本支出</c:v>
                </c:pt>
                <c:pt idx="1">
                  <c:v>项目支出</c:v>
                </c:pt>
                <c:pt idx="2">
                  <c:v>上缴上级支出</c:v>
                </c:pt>
                <c:pt idx="3">
                  <c:v>经营支出</c:v>
                </c:pt>
                <c:pt idx="4">
                  <c:v>对附属单位补助支出</c:v>
                </c:pt>
              </c:strCache>
            </c:strRef>
          </c:cat>
          <c:val>
            <c:numRef>
              <c:f>'[决算画图样本 (2020).xls]Sheet2'!$B$25:$B$29</c:f>
              <c:numCache>
                <c:formatCode>#,##0.00</c:formatCode>
                <c:ptCount val="5"/>
                <c:pt idx="0">
                  <c:v>600.68</c:v>
                </c:pt>
                <c:pt idx="1">
                  <c:v>614.98</c:v>
                </c:pt>
                <c:pt idx="2" c:formatCode="General">
                  <c:v>0</c:v>
                </c:pt>
                <c:pt idx="3" c:formatCode="General">
                  <c:v>0</c:v>
                </c:pt>
                <c:pt idx="4" c:formatCode="General">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w="3175">
          <a:noFill/>
        </a:ln>
      </c:spPr>
      <c:txPr>
        <a:bodyPr rot="0" spcFirstLastPara="0" vertOverflow="ellipsis" vert="horz" wrap="square" anchor="ctr" anchorCtr="1"/>
        <a:lstStyle/>
        <a:p>
          <a:pPr>
            <a:defRPr lang="zh-CN" sz="825" b="0" i="0" u="none" strike="noStrike" kern="1200" baseline="0">
              <a:solidFill>
                <a:srgbClr val="333333"/>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9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400" b="0" i="0" u="none" strike="noStrike" baseline="0">
                <a:solidFill>
                  <a:srgbClr val="333333"/>
                </a:solidFill>
                <a:latin typeface="宋体" panose="02010600030101010101" charset="-122"/>
                <a:ea typeface="宋体" panose="02010600030101010101" charset="-122"/>
                <a:cs typeface="宋体" panose="02010600030101010101" charset="-122"/>
              </a:rPr>
              <a:t>图</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4.</a:t>
            </a:r>
            <a:r>
              <a:rPr lang="zh-CN" altLang="en-US"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a:t>
            </a:r>
            <a:endParaRPr lang="zh-CN"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barChart>
        <c:barDir val="col"/>
        <c:grouping val="clustered"/>
        <c:varyColors val="0"/>
        <c:ser>
          <c:idx val="0"/>
          <c:order val="0"/>
          <c:spPr>
            <a:solidFill>
              <a:srgbClr val="5B9BD5">
                <a:alpha val="100000"/>
              </a:srgbClr>
            </a:solidFill>
            <a:ln w="3175">
              <a:noFill/>
            </a:ln>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'[决算画图样本 (2020).xls]Sheet2'!$A$35:$A$38</c:f>
              <c:strCache>
                <c:ptCount val="4"/>
                <c:pt idx="0">
                  <c:v>2019年度财政拨款收入</c:v>
                </c:pt>
                <c:pt idx="1">
                  <c:v>2020年度财政拨款收入</c:v>
                </c:pt>
                <c:pt idx="2">
                  <c:v>2019年度财政拨款支出</c:v>
                </c:pt>
                <c:pt idx="3">
                  <c:v>2020年度财政拨款支出</c:v>
                </c:pt>
              </c:strCache>
            </c:strRef>
          </c:cat>
          <c:val>
            <c:numRef>
              <c:f>'[决算画图样本 (2020).xls]Sheet2'!$B$35:$B$38</c:f>
              <c:numCache>
                <c:formatCode>General</c:formatCode>
                <c:ptCount val="4"/>
                <c:pt idx="0">
                  <c:v>1241.34</c:v>
                </c:pt>
                <c:pt idx="1">
                  <c:v>1089.63</c:v>
                </c:pt>
                <c:pt idx="2">
                  <c:v>1118.02</c:v>
                </c:pt>
                <c:pt idx="3">
                  <c:v>1215.66</c:v>
                </c:pt>
              </c:numCache>
            </c:numRef>
          </c:val>
        </c:ser>
        <c:dLbls>
          <c:showLegendKey val="0"/>
          <c:showVal val="0"/>
          <c:showCatName val="0"/>
          <c:showSerName val="0"/>
          <c:showPercent val="0"/>
          <c:showBubbleSize val="0"/>
        </c:dLbls>
        <c:gapWidth val="219"/>
        <c:overlap val="-27"/>
        <c:axId val="856138227"/>
        <c:axId val="700732631"/>
      </c:barChart>
      <c:catAx>
        <c:axId val="856138227"/>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5400000" spcFirstLastPara="0" vertOverflow="ellipsis" vert="horz" wrap="square" anchor="ctr" anchorCtr="1"/>
          <a:lstStyle/>
          <a:p>
            <a:pPr>
              <a:defRPr lang="zh-CN" sz="9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700732631"/>
        <c:crosses val="autoZero"/>
        <c:auto val="1"/>
        <c:lblAlgn val="ctr"/>
        <c:lblOffset val="100"/>
        <c:noMultiLvlLbl val="0"/>
      </c:catAx>
      <c:valAx>
        <c:axId val="70073263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ln w="317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85613822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图5</a:t>
            </a:r>
            <a:r>
              <a:rPr sz="1400" b="0" i="0" u="none" strike="noStrike" baseline="0">
                <a:solidFill>
                  <a:srgbClr val="333333"/>
                </a:solidFill>
                <a:latin typeface="Calibri" panose="020F0502020204030204" charset="-122"/>
                <a:ea typeface="Calibri" panose="020F0502020204030204" charset="-122"/>
                <a:cs typeface="Calibri" panose="020F0502020204030204" charset="-122"/>
              </a:rPr>
              <a:t>.</a:t>
            </a: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一般公共预算财政拨款支出决算变动情况</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38333307550702"/>
          <c:y val="0.0315419488647835"/>
        </c:manualLayout>
      </c:layout>
      <c:overlay val="0"/>
      <c:spPr>
        <a:noFill/>
        <a:ln w="3175">
          <a:noFill/>
        </a:ln>
      </c:spPr>
    </c:title>
    <c:autoTitleDeleted val="0"/>
    <c:plotArea>
      <c:layout/>
      <c:barChart>
        <c:barDir val="col"/>
        <c:grouping val="clustered"/>
        <c:varyColors val="0"/>
        <c:ser>
          <c:idx val="0"/>
          <c:order val="0"/>
          <c:spPr>
            <a:solidFill>
              <a:srgbClr val="5B9BD5">
                <a:alpha val="100000"/>
              </a:srgbClr>
            </a:solidFill>
            <a:ln w="3175">
              <a:noFill/>
            </a:ln>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'[决算画图样本 (2020).xls]Sheet2'!$A$45:$A$46</c:f>
              <c:strCache>
                <c:ptCount val="2"/>
                <c:pt idx="0">
                  <c:v>2019一般公共预算财政拨款支出</c:v>
                </c:pt>
                <c:pt idx="1">
                  <c:v>2020一般公共预算财政拨款支出</c:v>
                </c:pt>
              </c:strCache>
            </c:strRef>
          </c:cat>
          <c:val>
            <c:numRef>
              <c:f>'[决算画图样本 (2020).xls]Sheet2'!$B$45:$B$46</c:f>
              <c:numCache>
                <c:formatCode>General</c:formatCode>
                <c:ptCount val="2"/>
                <c:pt idx="0">
                  <c:v>982.02</c:v>
                </c:pt>
                <c:pt idx="1">
                  <c:v>485.68</c:v>
                </c:pt>
              </c:numCache>
            </c:numRef>
          </c:val>
        </c:ser>
        <c:dLbls>
          <c:showLegendKey val="0"/>
          <c:showVal val="0"/>
          <c:showCatName val="0"/>
          <c:showSerName val="0"/>
          <c:showPercent val="0"/>
          <c:showBubbleSize val="0"/>
        </c:dLbls>
        <c:gapWidth val="219"/>
        <c:overlap val="-27"/>
        <c:axId val="520329639"/>
        <c:axId val="298750288"/>
      </c:barChart>
      <c:catAx>
        <c:axId val="520329639"/>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298750288"/>
        <c:crosses val="autoZero"/>
        <c:auto val="1"/>
        <c:lblAlgn val="ctr"/>
        <c:lblOffset val="100"/>
        <c:noMultiLvlLbl val="0"/>
      </c:catAx>
      <c:valAx>
        <c:axId val="2987502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ln w="317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520329639"/>
        <c:crosses val="autoZero"/>
        <c:crossBetween val="between"/>
      </c:valAx>
      <c:spPr>
        <a:noFill/>
        <a:ln w="3175">
          <a:noFill/>
        </a:ln>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图6</a:t>
            </a:r>
            <a:r>
              <a:rPr sz="1400" b="0" i="0" u="none" strike="noStrike" baseline="0">
                <a:solidFill>
                  <a:srgbClr val="333333"/>
                </a:solidFill>
                <a:latin typeface="Calibri" panose="020F0502020204030204" charset="-122"/>
                <a:ea typeface="Calibri" panose="020F0502020204030204" charset="-122"/>
                <a:cs typeface="Calibri" panose="020F0502020204030204" charset="-122"/>
              </a:rPr>
              <a:t>.</a:t>
            </a: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w="3175">
          <a:noFill/>
        </a:ln>
      </c:spPr>
    </c:title>
    <c:autoTitleDeleted val="0"/>
    <c:plotArea>
      <c:layout/>
      <c:pieChart>
        <c:varyColors val="1"/>
        <c:ser>
          <c:idx val="0"/>
          <c:order val="0"/>
          <c:explosion val="0"/>
          <c:dPt>
            <c:idx val="0"/>
            <c:bubble3D val="0"/>
            <c:explosion val="0"/>
            <c:spPr>
              <a:solidFill>
                <a:srgbClr val="5B9BD5">
                  <a:alpha val="100000"/>
                </a:srgbClr>
              </a:solidFill>
              <a:ln w="19050">
                <a:solidFill>
                  <a:srgbClr val="FFFFFF">
                    <a:alpha val="100000"/>
                  </a:srgbClr>
                </a:solidFill>
                <a:prstDash val="solid"/>
              </a:ln>
            </c:spPr>
          </c:dPt>
          <c:dPt>
            <c:idx val="1"/>
            <c:bubble3D val="0"/>
            <c:explosion val="0"/>
            <c:spPr>
              <a:solidFill>
                <a:srgbClr val="ED7D31">
                  <a:alpha val="100000"/>
                </a:srgbClr>
              </a:solidFill>
              <a:ln w="19050">
                <a:solidFill>
                  <a:srgbClr val="FFFFFF">
                    <a:alpha val="100000"/>
                  </a:srgbClr>
                </a:solidFill>
                <a:prstDash val="solid"/>
              </a:ln>
            </c:spPr>
          </c:dPt>
          <c:dPt>
            <c:idx val="2"/>
            <c:bubble3D val="0"/>
            <c:explosion val="0"/>
            <c:spPr>
              <a:solidFill>
                <a:srgbClr val="A5A5A5">
                  <a:alpha val="100000"/>
                </a:srgbClr>
              </a:solidFill>
              <a:ln w="19050">
                <a:solidFill>
                  <a:srgbClr val="FFFFFF">
                    <a:alpha val="100000"/>
                  </a:srgbClr>
                </a:solidFill>
                <a:prstDash val="solid"/>
              </a:ln>
            </c:spPr>
          </c:dPt>
          <c:dPt>
            <c:idx val="3"/>
            <c:bubble3D val="0"/>
            <c:explosion val="0"/>
            <c:spPr>
              <a:solidFill>
                <a:srgbClr val="FFC000">
                  <a:alpha val="100000"/>
                </a:srgbClr>
              </a:solidFill>
              <a:ln w="19050">
                <a:solidFill>
                  <a:srgbClr val="FFFFFF">
                    <a:alpha val="100000"/>
                  </a:srgbClr>
                </a:solidFill>
                <a:prstDash val="solid"/>
              </a:ln>
            </c:spPr>
          </c:dPt>
          <c:dLbls>
            <c:numFmt formatCode="General" sourceLinked="1"/>
            <c:spPr>
              <a:noFill/>
              <a:ln w="3175">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33333">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1"/>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'[决算画图样本 (2020).xls]Sheet2'!$A$54:$A$57</c:f>
              <c:strCache>
                <c:ptCount val="4"/>
                <c:pt idx="0">
                  <c:v>一般公共服务支出</c:v>
                </c:pt>
                <c:pt idx="1">
                  <c:v>社会保障和就业支出</c:v>
                </c:pt>
                <c:pt idx="2">
                  <c:v>卫生健康支出</c:v>
                </c:pt>
                <c:pt idx="3">
                  <c:v>住房保障支出</c:v>
                </c:pt>
              </c:strCache>
            </c:strRef>
          </c:cat>
          <c:val>
            <c:numRef>
              <c:f>'[决算画图样本 (2020).xls]Sheet2'!$B$54:$B$57</c:f>
              <c:numCache>
                <c:formatCode>General</c:formatCode>
                <c:ptCount val="4"/>
                <c:pt idx="0">
                  <c:v>8.5</c:v>
                </c:pt>
                <c:pt idx="1" c:formatCode="#,##0.00">
                  <c:v>405.5</c:v>
                </c:pt>
                <c:pt idx="2">
                  <c:v>36.26</c:v>
                </c:pt>
                <c:pt idx="3" c:formatCode="#,##0.00">
                  <c:v>35.42</c:v>
                </c:pt>
              </c:numCache>
            </c:numRef>
          </c:val>
        </c:ser>
        <c:dLbls>
          <c:showLegendKey val="0"/>
          <c:showVal val="0"/>
          <c:showCatName val="0"/>
          <c:showSerName val="0"/>
          <c:showPercent val="0"/>
          <c:showBubbleSize val="0"/>
          <c:showLeaderLines val="1"/>
        </c:dLbls>
        <c:firstSliceAng val="0"/>
      </c:pieChart>
      <c:spPr>
        <a:noFill/>
        <a:ln w="3175">
          <a:noFill/>
        </a:ln>
      </c:spPr>
    </c:plotArea>
    <c:legend>
      <c:legendPos val="b"/>
      <c:layout>
        <c:manualLayout>
          <c:xMode val="edge"/>
          <c:yMode val="edge"/>
          <c:x val="0.102"/>
          <c:y val="0.889"/>
          <c:w val="0.7955"/>
          <c:h val="0.079"/>
        </c:manualLayout>
      </c:layout>
      <c:overlay val="0"/>
      <c:spPr>
        <a:noFill/>
        <a:ln w="3175">
          <a:noFill/>
        </a:ln>
      </c:spPr>
      <c:txPr>
        <a:bodyPr rot="0" spcFirstLastPara="0" vertOverflow="ellipsis" vert="horz" wrap="square" anchor="ctr" anchorCtr="1"/>
        <a:lstStyle/>
        <a:p>
          <a:pPr>
            <a:defRPr lang="zh-CN" sz="825" b="0" i="0" u="none" strike="noStrike" kern="1200" baseline="0">
              <a:solidFill>
                <a:srgbClr val="333333"/>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图7</a:t>
            </a:r>
            <a:r>
              <a:rPr sz="1400" b="0" i="0" u="none" strike="noStrike" baseline="0">
                <a:solidFill>
                  <a:srgbClr val="333333"/>
                </a:solidFill>
                <a:latin typeface="Calibri" panose="020F0502020204030204" charset="-122"/>
                <a:ea typeface="Calibri" panose="020F0502020204030204" charset="-122"/>
                <a:cs typeface="Calibri" panose="020F0502020204030204" charset="-122"/>
              </a:rPr>
              <a:t>.</a:t>
            </a:r>
            <a:r>
              <a:rPr sz="1400" b="0" i="0" u="none" strike="noStrike" baseline="0">
                <a:solidFill>
                  <a:srgbClr val="333333"/>
                </a:solidFill>
                <a:latin typeface="宋体" panose="02010600030101010101" charset="-122"/>
                <a:ea typeface="宋体" panose="02010600030101010101" charset="-122"/>
                <a:cs typeface="宋体" panose="02010600030101010101" charset="-122"/>
              </a:rPr>
              <a:t>“三公”经费财政拨款支出结构图</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64444444444444"/>
          <c:y val="0.0350468296726067"/>
        </c:manualLayout>
      </c:layout>
      <c:overlay val="0"/>
      <c:spPr>
        <a:noFill/>
        <a:ln w="3175">
          <a:noFill/>
        </a:ln>
      </c:spPr>
    </c:title>
    <c:autoTitleDeleted val="0"/>
    <c:plotArea>
      <c:layout/>
      <c:pieChart>
        <c:varyColors val="1"/>
        <c:ser>
          <c:idx val="0"/>
          <c:order val="0"/>
          <c:explosion val="0"/>
          <c:dPt>
            <c:idx val="0"/>
            <c:bubble3D val="0"/>
            <c:explosion val="0"/>
          </c:dPt>
          <c:dPt>
            <c:idx val="1"/>
            <c:bubble3D val="0"/>
            <c:explosion val="0"/>
          </c:dPt>
          <c:dPt>
            <c:idx val="2"/>
            <c:bubble3D val="0"/>
            <c:explosion val="0"/>
          </c:dPt>
          <c:dLbls>
            <c:numFmt formatCode="General" sourceLinked="1"/>
            <c:spPr>
              <a:noFill/>
              <a:ln w="3175">
                <a:noFill/>
              </a:ln>
              <a:effectLst/>
            </c:spPr>
            <c:txPr>
              <a:bodyPr rot="0" spcFirstLastPara="0" vertOverflow="ellipsis" vert="horz" wrap="square" lIns="38100" tIns="19050" rIns="38100" bIns="19050" anchor="ctr" anchorCtr="1"/>
              <a:lstStyle/>
              <a:p>
                <a:pPr>
                  <a:defRPr lang="zh-CN" sz="900" b="0" i="0" u="none" strike="noStrike" kern="1200" baseline="0">
                    <a:solidFill>
                      <a:srgbClr val="333333">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'[决算画图样本 (2020).xls]Sheet2'!$A$64:$A$66</c:f>
              <c:strCache>
                <c:ptCount val="3"/>
                <c:pt idx="0">
                  <c:v>公务接待费</c:v>
                </c:pt>
                <c:pt idx="1">
                  <c:v>公务用车购置及运行维护费</c:v>
                </c:pt>
                <c:pt idx="2">
                  <c:v>因公出国（境）费用</c:v>
                </c:pt>
              </c:strCache>
            </c:strRef>
          </c:cat>
          <c:val>
            <c:numRef>
              <c:f>'[决算画图样本 (2020).xls]Sheet2'!$B$64:$B$66</c:f>
              <c:numCache>
                <c:formatCode>General</c:formatCode>
                <c:ptCount val="3"/>
                <c:pt idx="0">
                  <c:v>1.98</c:v>
                </c:pt>
                <c:pt idx="1">
                  <c:v>0</c:v>
                </c:pt>
                <c:pt idx="2">
                  <c:v>0</c:v>
                </c:pt>
              </c:numCache>
            </c:numRef>
          </c:val>
        </c:ser>
        <c:dLbls>
          <c:showLegendKey val="0"/>
          <c:showVal val="0"/>
          <c:showCatName val="0"/>
          <c:showSerName val="0"/>
          <c:showPercent val="0"/>
          <c:showBubbleSize val="0"/>
          <c:showLeaderLines val="1"/>
        </c:dLbls>
        <c:firstSliceAng val="0"/>
      </c:pieChart>
      <c:spPr>
        <a:noFill/>
        <a:ln w="3175">
          <a:noFill/>
        </a:ln>
      </c:spPr>
    </c:plotArea>
    <c:legend>
      <c:legendPos val="b"/>
      <c:layout/>
      <c:overlay val="0"/>
      <c:spPr>
        <a:noFill/>
        <a:ln w="3175">
          <a:noFill/>
        </a:ln>
      </c:spPr>
      <c:txPr>
        <a:bodyPr rot="0" spcFirstLastPara="0" vertOverflow="ellipsis" vert="horz" wrap="square" anchor="ctr" anchorCtr="1"/>
        <a:lstStyle/>
        <a:p>
          <a:pPr>
            <a:defRPr lang="zh-CN" sz="825" b="0" i="0" u="none" strike="noStrike" kern="1200" baseline="0">
              <a:solidFill>
                <a:srgbClr val="333333"/>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wrap="square" anchor="ctr" anchorCtr="1"/>
    <a:lstStyle/>
    <a:p>
      <a:pPr>
        <a:defRPr lang="zh-CN" sz="10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EAF0E-C938-491F-825F-9117D7D259D7}">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44</Pages>
  <Words>17703</Words>
  <Characters>3724</Characters>
  <Lines>31</Lines>
  <Paragraphs>42</Paragraphs>
  <TotalTime>22</TotalTime>
  <ScaleCrop>false</ScaleCrop>
  <LinksUpToDate>false</LinksUpToDate>
  <CharactersWithSpaces>21385</CharactersWithSpaces>
  <Application>WPS Office_11.1.0.10388_F1E327BC-269C-435d-A152-05C5408002CA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lenovo</cp:lastModifiedBy>
  <cp:lastPrinted>2021-08-19T03:08:00Z</cp:lastPrinted>
  <dcterms:modified xsi:type="dcterms:W3CDTF">2021-08-31T08:04:48Z</dcterms:modified>
  <dc:title>四川省***</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2052-11.1.0.10388</vt:lpwstr>
  </property>
  <property fmtid="{D5CDD505-2E9C-101B-9397-08002B2CF9AE}" pid="3" name="ICV">
    <vt:lpwstr>1FF65EF6770E49309DA080B6D69A001A</vt:lpwstr>
  </property>
</Properties>
</file>